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7713" w14:textId="77777777" w:rsidR="00247DAA" w:rsidRDefault="00247DAA">
      <w:pPr>
        <w:pStyle w:val="Standard"/>
        <w:rPr>
          <w:rFonts w:ascii="Calibri" w:hAnsi="Calibri" w:cs="Calibri"/>
          <w:sz w:val="21"/>
          <w:szCs w:val="21"/>
        </w:rPr>
      </w:pPr>
    </w:p>
    <w:p w14:paraId="4EC4F2D6" w14:textId="77777777" w:rsidR="00247DAA" w:rsidRDefault="00247DAA">
      <w:pPr>
        <w:pStyle w:val="Standard"/>
        <w:rPr>
          <w:rFonts w:ascii="Calibri" w:hAnsi="Calibri" w:cs="Calibri"/>
          <w:sz w:val="21"/>
          <w:szCs w:val="21"/>
        </w:rPr>
      </w:pPr>
    </w:p>
    <w:p w14:paraId="74A4DAE6" w14:textId="77777777" w:rsidR="00247DAA" w:rsidRDefault="00000000">
      <w:pPr>
        <w:pStyle w:val="Standard"/>
        <w:rPr>
          <w:rFonts w:ascii="Calibri" w:hAnsi="Calibri" w:cs="Calibri"/>
          <w:color w:val="FF0000"/>
          <w:sz w:val="21"/>
          <w:szCs w:val="21"/>
        </w:rPr>
      </w:pPr>
      <w:r>
        <w:rPr>
          <w:rFonts w:ascii="Calibri" w:hAnsi="Calibri" w:cs="Calibri"/>
          <w:color w:val="FF0000"/>
          <w:sz w:val="21"/>
          <w:szCs w:val="21"/>
        </w:rPr>
        <w:t>Council Address</w:t>
      </w:r>
      <w:r>
        <w:rPr>
          <w:rFonts w:ascii="Calibri" w:hAnsi="Calibri" w:cs="Calibri"/>
          <w:color w:val="FF0000"/>
          <w:sz w:val="21"/>
          <w:szCs w:val="21"/>
        </w:rPr>
        <w:tab/>
      </w:r>
      <w:r>
        <w:rPr>
          <w:rFonts w:ascii="Calibri" w:hAnsi="Calibri" w:cs="Calibri"/>
          <w:color w:val="FF0000"/>
          <w:sz w:val="21"/>
          <w:szCs w:val="21"/>
        </w:rPr>
        <w:tab/>
      </w:r>
      <w:r>
        <w:rPr>
          <w:rFonts w:ascii="Calibri" w:hAnsi="Calibri" w:cs="Calibri"/>
          <w:color w:val="FF0000"/>
          <w:sz w:val="21"/>
          <w:szCs w:val="21"/>
        </w:rPr>
        <w:tab/>
      </w:r>
      <w:r>
        <w:rPr>
          <w:rFonts w:ascii="Calibri" w:hAnsi="Calibri" w:cs="Calibri"/>
          <w:color w:val="FF0000"/>
          <w:sz w:val="21"/>
          <w:szCs w:val="21"/>
        </w:rPr>
        <w:tab/>
      </w:r>
      <w:r>
        <w:rPr>
          <w:rFonts w:ascii="Calibri" w:hAnsi="Calibri" w:cs="Calibri"/>
          <w:color w:val="FF0000"/>
          <w:sz w:val="21"/>
          <w:szCs w:val="21"/>
        </w:rPr>
        <w:tab/>
      </w:r>
      <w:r>
        <w:rPr>
          <w:rFonts w:ascii="Calibri" w:hAnsi="Calibri" w:cs="Calibri"/>
          <w:color w:val="FF0000"/>
          <w:sz w:val="21"/>
          <w:szCs w:val="21"/>
        </w:rPr>
        <w:tab/>
      </w:r>
      <w:r>
        <w:rPr>
          <w:rFonts w:ascii="Calibri" w:hAnsi="Calibri" w:cs="Calibri"/>
          <w:color w:val="FF0000"/>
          <w:sz w:val="21"/>
          <w:szCs w:val="21"/>
        </w:rPr>
        <w:tab/>
      </w:r>
      <w:r>
        <w:rPr>
          <w:rFonts w:ascii="Calibri" w:hAnsi="Calibri" w:cs="Calibri"/>
          <w:color w:val="FF0000"/>
          <w:sz w:val="21"/>
          <w:szCs w:val="21"/>
        </w:rPr>
        <w:tab/>
      </w:r>
      <w:r>
        <w:rPr>
          <w:rFonts w:ascii="Calibri" w:hAnsi="Calibri" w:cs="Calibri"/>
          <w:color w:val="FF0000"/>
          <w:sz w:val="21"/>
          <w:szCs w:val="21"/>
        </w:rPr>
        <w:tab/>
      </w:r>
      <w:r>
        <w:rPr>
          <w:rFonts w:ascii="Calibri" w:hAnsi="Calibri" w:cs="Calibri"/>
          <w:color w:val="FF0000"/>
          <w:sz w:val="21"/>
          <w:szCs w:val="21"/>
        </w:rPr>
        <w:tab/>
        <w:t xml:space="preserve">Your </w:t>
      </w:r>
      <w:proofErr w:type="gramStart"/>
      <w:r>
        <w:rPr>
          <w:rFonts w:ascii="Calibri" w:hAnsi="Calibri" w:cs="Calibri"/>
          <w:color w:val="FF0000"/>
          <w:sz w:val="21"/>
          <w:szCs w:val="21"/>
        </w:rPr>
        <w:t>address</w:t>
      </w:r>
      <w:proofErr w:type="gramEnd"/>
    </w:p>
    <w:p w14:paraId="736E9D9E" w14:textId="77777777" w:rsidR="00247DAA" w:rsidRDefault="00247DAA">
      <w:pPr>
        <w:pStyle w:val="Standard"/>
        <w:rPr>
          <w:rFonts w:ascii="Calibri" w:hAnsi="Calibri" w:cs="Calibri"/>
          <w:color w:val="FF0000"/>
          <w:sz w:val="21"/>
          <w:szCs w:val="21"/>
        </w:rPr>
      </w:pPr>
    </w:p>
    <w:p w14:paraId="75A19E2C" w14:textId="77777777" w:rsidR="00247DAA" w:rsidRDefault="00000000">
      <w:pPr>
        <w:pStyle w:val="Standard"/>
        <w:rPr>
          <w:rFonts w:ascii="Calibri" w:hAnsi="Calibri" w:cs="Calibri"/>
          <w:color w:val="FF0000"/>
          <w:sz w:val="21"/>
          <w:szCs w:val="21"/>
        </w:rPr>
      </w:pPr>
      <w:r>
        <w:rPr>
          <w:rFonts w:ascii="Calibri" w:hAnsi="Calibri" w:cs="Calibri"/>
          <w:color w:val="FF0000"/>
          <w:sz w:val="21"/>
          <w:szCs w:val="21"/>
        </w:rPr>
        <w:t>Date</w:t>
      </w:r>
    </w:p>
    <w:p w14:paraId="543DEDDA" w14:textId="77777777" w:rsidR="00247DAA" w:rsidRDefault="00247DAA">
      <w:pPr>
        <w:pStyle w:val="Standard"/>
        <w:rPr>
          <w:rFonts w:ascii="Calibri" w:hAnsi="Calibri" w:cs="Calibri"/>
          <w:color w:val="FF0000"/>
          <w:sz w:val="21"/>
          <w:szCs w:val="21"/>
        </w:rPr>
      </w:pPr>
    </w:p>
    <w:p w14:paraId="66DAA560" w14:textId="77777777" w:rsidR="00247DAA" w:rsidRDefault="00247DAA">
      <w:pPr>
        <w:pStyle w:val="Standard"/>
        <w:rPr>
          <w:rFonts w:ascii="Calibri" w:hAnsi="Calibri" w:cs="Calibri"/>
          <w:sz w:val="21"/>
          <w:szCs w:val="21"/>
        </w:rPr>
      </w:pPr>
    </w:p>
    <w:p w14:paraId="6D074444" w14:textId="77777777" w:rsidR="00247DAA" w:rsidRDefault="00247DAA">
      <w:pPr>
        <w:pStyle w:val="Standard"/>
        <w:rPr>
          <w:rFonts w:ascii="Calibri" w:hAnsi="Calibri" w:cs="Calibri"/>
          <w:sz w:val="21"/>
          <w:szCs w:val="21"/>
        </w:rPr>
      </w:pPr>
    </w:p>
    <w:p w14:paraId="4AD2D03A" w14:textId="77777777" w:rsidR="00247DAA" w:rsidRDefault="00000000">
      <w:pPr>
        <w:pStyle w:val="Standard"/>
        <w:rPr>
          <w:rFonts w:ascii="Calibri" w:hAnsi="Calibri" w:cs="Calibri"/>
          <w:sz w:val="21"/>
          <w:szCs w:val="21"/>
        </w:rPr>
      </w:pPr>
      <w:r>
        <w:rPr>
          <w:rFonts w:ascii="Calibri" w:hAnsi="Calibri" w:cs="Calibri"/>
          <w:sz w:val="21"/>
          <w:szCs w:val="21"/>
        </w:rPr>
        <w:t>Dear xxx, (Head of Planning),</w:t>
      </w:r>
    </w:p>
    <w:p w14:paraId="148B0DBA" w14:textId="77777777" w:rsidR="00247DAA" w:rsidRDefault="00247DAA">
      <w:pPr>
        <w:pStyle w:val="Standard"/>
        <w:rPr>
          <w:rFonts w:ascii="Calibri" w:hAnsi="Calibri" w:cs="Calibri"/>
          <w:sz w:val="21"/>
          <w:szCs w:val="21"/>
        </w:rPr>
      </w:pPr>
    </w:p>
    <w:p w14:paraId="359A4514" w14:textId="77777777" w:rsidR="00247DAA" w:rsidRDefault="00000000">
      <w:pPr>
        <w:pStyle w:val="Standard"/>
        <w:rPr>
          <w:rFonts w:hint="eastAsia"/>
        </w:rPr>
      </w:pPr>
      <w:r>
        <w:rPr>
          <w:rFonts w:ascii="Calibri" w:hAnsi="Calibri" w:cs="Calibri"/>
          <w:color w:val="000000"/>
          <w:sz w:val="21"/>
          <w:szCs w:val="21"/>
        </w:rPr>
        <w:t xml:space="preserve">Please can </w:t>
      </w:r>
      <w:r>
        <w:rPr>
          <w:rFonts w:ascii="Calibri" w:hAnsi="Calibri" w:cs="Calibri"/>
          <w:color w:val="F10D0C"/>
          <w:sz w:val="21"/>
          <w:szCs w:val="21"/>
        </w:rPr>
        <w:t xml:space="preserve">xxx </w:t>
      </w:r>
      <w:r>
        <w:rPr>
          <w:rFonts w:ascii="Calibri" w:hAnsi="Calibri" w:cs="Calibri"/>
          <w:color w:val="000000"/>
          <w:sz w:val="21"/>
          <w:szCs w:val="21"/>
        </w:rPr>
        <w:t>local planning authority take imme</w:t>
      </w:r>
      <w:r>
        <w:rPr>
          <w:rFonts w:ascii="Calibri" w:hAnsi="Calibri" w:cs="Calibri"/>
          <w:sz w:val="21"/>
          <w:szCs w:val="21"/>
        </w:rPr>
        <w:t xml:space="preserve">diate action to enact its public health/environmental obligations under the European Electronic Communications Code (EECC).  </w:t>
      </w:r>
    </w:p>
    <w:p w14:paraId="7A58E60E" w14:textId="77777777" w:rsidR="00247DAA" w:rsidRDefault="00247DAA">
      <w:pPr>
        <w:pStyle w:val="Standard"/>
        <w:rPr>
          <w:rFonts w:ascii="Calibri" w:hAnsi="Calibri" w:cs="Calibri"/>
          <w:sz w:val="21"/>
          <w:szCs w:val="21"/>
        </w:rPr>
      </w:pPr>
    </w:p>
    <w:p w14:paraId="3F7EA677" w14:textId="77777777" w:rsidR="00247DAA" w:rsidRDefault="00000000">
      <w:pPr>
        <w:pStyle w:val="Standard"/>
        <w:rPr>
          <w:rFonts w:ascii="Calibri" w:hAnsi="Calibri" w:cs="Calibri"/>
          <w:sz w:val="21"/>
          <w:szCs w:val="21"/>
        </w:rPr>
      </w:pPr>
      <w:r w:rsidRPr="00D6743E">
        <w:rPr>
          <w:rFonts w:ascii="Calibri" w:hAnsi="Calibri" w:cs="Calibri"/>
          <w:b/>
          <w:bCs/>
          <w:sz w:val="21"/>
          <w:szCs w:val="21"/>
        </w:rPr>
        <w:t>A legal challenge</w:t>
      </w:r>
      <w:r>
        <w:rPr>
          <w:rFonts w:ascii="Calibri" w:hAnsi="Calibri" w:cs="Calibri"/>
          <w:sz w:val="21"/>
          <w:szCs w:val="21"/>
        </w:rPr>
        <w:t xml:space="preserve"> has been submitted to the Government Legal Services Department (GLD) on 12th September which seeks to remedy the government's ambiguity regarding RFR regulation, as the government has not resourced </w:t>
      </w:r>
      <w:proofErr w:type="gramStart"/>
      <w:r>
        <w:rPr>
          <w:rFonts w:ascii="Calibri" w:hAnsi="Calibri" w:cs="Calibri"/>
          <w:sz w:val="21"/>
          <w:szCs w:val="21"/>
        </w:rPr>
        <w:t>LPA’s</w:t>
      </w:r>
      <w:proofErr w:type="gramEnd"/>
      <w:r>
        <w:rPr>
          <w:rFonts w:ascii="Calibri" w:hAnsi="Calibri" w:cs="Calibri"/>
          <w:sz w:val="21"/>
          <w:szCs w:val="21"/>
        </w:rPr>
        <w:t xml:space="preserve"> to perform their role as competent authorities.</w:t>
      </w:r>
    </w:p>
    <w:p w14:paraId="78C4F4F9" w14:textId="77777777" w:rsidR="00247DAA" w:rsidRDefault="00247DAA">
      <w:pPr>
        <w:pStyle w:val="Standard"/>
        <w:rPr>
          <w:rFonts w:ascii="Calibri" w:hAnsi="Calibri" w:cs="Calibri"/>
          <w:sz w:val="21"/>
          <w:szCs w:val="21"/>
        </w:rPr>
      </w:pPr>
    </w:p>
    <w:p w14:paraId="36F6FB2E" w14:textId="77777777" w:rsidR="00247DAA" w:rsidRDefault="00000000">
      <w:pPr>
        <w:pStyle w:val="Standard"/>
        <w:rPr>
          <w:rFonts w:hint="eastAsia"/>
        </w:rPr>
      </w:pPr>
      <w:r>
        <w:rPr>
          <w:rFonts w:ascii="Calibri" w:hAnsi="Calibri" w:cs="Calibri"/>
          <w:color w:val="000000"/>
          <w:sz w:val="21"/>
          <w:szCs w:val="21"/>
        </w:rPr>
        <w:t>Public health/environmental ri</w:t>
      </w:r>
      <w:r>
        <w:rPr>
          <w:rFonts w:ascii="Calibri" w:hAnsi="Calibri" w:cs="Calibri"/>
          <w:sz w:val="21"/>
          <w:szCs w:val="21"/>
        </w:rPr>
        <w:t>sk reconciliation should be occurring according to the procedural standard and public health imperative re</w:t>
      </w:r>
      <w:r>
        <w:rPr>
          <w:rFonts w:ascii="Calibri" w:hAnsi="Calibri" w:cs="Calibri"/>
          <w:color w:val="000000"/>
          <w:sz w:val="21"/>
          <w:szCs w:val="21"/>
        </w:rPr>
        <w:t>quired to properly enact the EECC (see para 1.7.1, set within section 1 of the attached submission).</w:t>
      </w:r>
    </w:p>
    <w:p w14:paraId="3C0EDDF7" w14:textId="77777777" w:rsidR="00247DAA" w:rsidRDefault="00247DAA">
      <w:pPr>
        <w:pStyle w:val="Standard"/>
        <w:rPr>
          <w:rFonts w:ascii="Calibri" w:hAnsi="Calibri" w:cs="Calibri"/>
          <w:sz w:val="21"/>
          <w:szCs w:val="21"/>
        </w:rPr>
      </w:pPr>
    </w:p>
    <w:p w14:paraId="216626CC" w14:textId="77777777" w:rsidR="00247DAA" w:rsidRDefault="00000000">
      <w:pPr>
        <w:pStyle w:val="Standard"/>
        <w:rPr>
          <w:rFonts w:hint="eastAsia"/>
        </w:rPr>
      </w:pPr>
      <w:r>
        <w:rPr>
          <w:rFonts w:ascii="Calibri" w:hAnsi="Calibri" w:cs="Calibri"/>
          <w:color w:val="000000"/>
          <w:sz w:val="21"/>
          <w:szCs w:val="21"/>
        </w:rPr>
        <w:t>It has been observed that local planning authorities are inconsistently applying EECC public health/environmental protection obligations,</w:t>
      </w:r>
      <w:r>
        <w:rPr>
          <w:rFonts w:ascii="Calibri" w:hAnsi="Calibri" w:cs="Calibri"/>
          <w:sz w:val="21"/>
          <w:szCs w:val="21"/>
        </w:rPr>
        <w:t xml:space="preserve"> and</w:t>
      </w:r>
      <w:r>
        <w:rPr>
          <w:rFonts w:ascii="Calibri" w:hAnsi="Calibri" w:cs="Calibri"/>
          <w:b/>
          <w:bCs/>
          <w:sz w:val="21"/>
          <w:szCs w:val="21"/>
        </w:rPr>
        <w:t xml:space="preserve"> Appendix 2</w:t>
      </w:r>
      <w:r>
        <w:rPr>
          <w:rFonts w:ascii="Calibri" w:hAnsi="Calibri" w:cs="Calibri"/>
          <w:sz w:val="21"/>
          <w:szCs w:val="21"/>
        </w:rPr>
        <w:t xml:space="preserve"> of the submission reveals the gaps in regulation currently occurring even if ICNIRP certification is accepted as satisfactorily protective.</w:t>
      </w:r>
    </w:p>
    <w:p w14:paraId="66EB2052" w14:textId="77777777" w:rsidR="00247DAA" w:rsidRDefault="00247DAA">
      <w:pPr>
        <w:pStyle w:val="Standard"/>
        <w:rPr>
          <w:rFonts w:ascii="Calibri" w:hAnsi="Calibri" w:cs="Calibri"/>
          <w:sz w:val="21"/>
          <w:szCs w:val="21"/>
        </w:rPr>
      </w:pPr>
    </w:p>
    <w:p w14:paraId="6543DD2D" w14:textId="77777777" w:rsidR="00247DAA" w:rsidRPr="00D6743E" w:rsidRDefault="00000000">
      <w:pPr>
        <w:pStyle w:val="Standard"/>
        <w:rPr>
          <w:rFonts w:hint="eastAsia"/>
          <w:color w:val="000000" w:themeColor="text1"/>
        </w:rPr>
      </w:pPr>
      <w:r w:rsidRPr="00D6743E">
        <w:rPr>
          <w:rFonts w:ascii="Calibri" w:hAnsi="Calibri" w:cs="Calibri"/>
          <w:color w:val="000000" w:themeColor="text1"/>
          <w:sz w:val="21"/>
          <w:szCs w:val="21"/>
        </w:rPr>
        <w:t>There is also inconsistency concerning the siting of masts outside schools.</w:t>
      </w:r>
    </w:p>
    <w:p w14:paraId="7788FD0F" w14:textId="77777777" w:rsidR="00247DAA" w:rsidRDefault="00247DAA">
      <w:pPr>
        <w:pStyle w:val="Standard"/>
        <w:rPr>
          <w:rFonts w:ascii="Calibri" w:hAnsi="Calibri" w:cs="Calibri"/>
          <w:sz w:val="21"/>
          <w:szCs w:val="21"/>
        </w:rPr>
      </w:pPr>
    </w:p>
    <w:p w14:paraId="5D611000" w14:textId="77777777" w:rsidR="00247DAA" w:rsidRDefault="00000000">
      <w:pPr>
        <w:pStyle w:val="Standard"/>
        <w:rPr>
          <w:rFonts w:ascii="Calibri" w:hAnsi="Calibri" w:cs="Calibri"/>
          <w:sz w:val="21"/>
          <w:szCs w:val="21"/>
        </w:rPr>
      </w:pPr>
      <w:r>
        <w:rPr>
          <w:rFonts w:ascii="Calibri" w:hAnsi="Calibri" w:cs="Calibri"/>
          <w:sz w:val="21"/>
          <w:szCs w:val="21"/>
        </w:rPr>
        <w:t>Matt Warman, the former Under Secretary of State at the Department of Digital, Culture, Media, and Sport has recently intervened by contacting ‘Three’ Chief Executive after a 5G mast was approved outside a school in his constituency, in Wrangle.  ‘Three’ consequently committed to not go ahead with installing the mast.</w:t>
      </w:r>
    </w:p>
    <w:p w14:paraId="276AB1B0" w14:textId="1EE7EF3D" w:rsidR="00D6743E" w:rsidRPr="00D6743E" w:rsidRDefault="00000000">
      <w:pPr>
        <w:pStyle w:val="Standard"/>
        <w:rPr>
          <w:rFonts w:ascii="Calibri" w:hAnsi="Calibri" w:cs="Calibri" w:hint="eastAsia"/>
          <w:sz w:val="21"/>
          <w:szCs w:val="21"/>
        </w:rPr>
      </w:pPr>
      <w:r>
        <w:rPr>
          <w:rFonts w:ascii="Calibri" w:hAnsi="Calibri" w:cs="Calibri"/>
          <w:sz w:val="21"/>
          <w:szCs w:val="21"/>
        </w:rPr>
        <w:t xml:space="preserve"> </w:t>
      </w:r>
      <w:r w:rsidR="00D6743E">
        <w:rPr>
          <w:rFonts w:ascii="Calibri" w:hAnsi="Calibri" w:cs="Calibri"/>
          <w:sz w:val="21"/>
          <w:szCs w:val="21"/>
        </w:rPr>
        <w:fldChar w:fldCharType="begin"/>
      </w:r>
      <w:r w:rsidR="00D6743E">
        <w:rPr>
          <w:rFonts w:ascii="Calibri" w:hAnsi="Calibri" w:cs="Calibri"/>
          <w:sz w:val="21"/>
          <w:szCs w:val="21"/>
        </w:rPr>
        <w:instrText>HYPERLINK "https://www.facebook.com/WarmanforBostonSkegness/posts/pfbid0rHTuMCkBzy81S5oFZBGeAJ23snferKaqAdeZxeDP7T4zaaGMspQTg1FYBhE9ujVql"</w:instrText>
      </w:r>
      <w:r w:rsidR="00D6743E">
        <w:rPr>
          <w:rFonts w:ascii="Calibri" w:hAnsi="Calibri" w:cs="Calibri"/>
          <w:sz w:val="21"/>
          <w:szCs w:val="21"/>
        </w:rPr>
        <w:fldChar w:fldCharType="separate"/>
      </w:r>
      <w:r w:rsidR="00D6743E" w:rsidRPr="001860A0">
        <w:rPr>
          <w:rStyle w:val="Hyperlink"/>
          <w:rFonts w:ascii="Calibri" w:hAnsi="Calibri" w:cs="Calibri"/>
          <w:sz w:val="21"/>
          <w:szCs w:val="21"/>
        </w:rPr>
        <w:t>https://www.facebook.com/WarmanforBostonSkegness/posts/pfbid0rHTuMCkBzy81S5oFZBGeAJ23snferKaqAdeZxeDP7T4zaaGMspQTg1FYBhE9ujVql</w:t>
      </w:r>
      <w:r w:rsidR="00D6743E">
        <w:rPr>
          <w:rFonts w:ascii="Calibri" w:hAnsi="Calibri" w:cs="Calibri"/>
          <w:sz w:val="21"/>
          <w:szCs w:val="21"/>
        </w:rPr>
        <w:fldChar w:fldCharType="end"/>
      </w:r>
      <w:r>
        <w:rPr>
          <w:rFonts w:ascii="Calibri" w:hAnsi="Calibri" w:cs="Calibri"/>
          <w:sz w:val="21"/>
          <w:szCs w:val="21"/>
        </w:rPr>
        <w:t>.</w:t>
      </w:r>
    </w:p>
    <w:p w14:paraId="41416CB5" w14:textId="77777777" w:rsidR="00247DAA" w:rsidRDefault="00247DAA">
      <w:pPr>
        <w:pStyle w:val="Standard"/>
        <w:rPr>
          <w:rFonts w:ascii="Calibri" w:hAnsi="Calibri" w:cs="Calibri"/>
          <w:sz w:val="21"/>
          <w:szCs w:val="21"/>
        </w:rPr>
      </w:pPr>
    </w:p>
    <w:p w14:paraId="05F44016" w14:textId="77777777" w:rsidR="00247DAA" w:rsidRDefault="00000000">
      <w:pPr>
        <w:pStyle w:val="Standard"/>
        <w:rPr>
          <w:rFonts w:hint="eastAsia"/>
        </w:rPr>
      </w:pPr>
      <w:r>
        <w:rPr>
          <w:rFonts w:ascii="Calibri" w:hAnsi="Calibri" w:cs="Calibri"/>
          <w:sz w:val="21"/>
          <w:szCs w:val="21"/>
        </w:rPr>
        <w:t xml:space="preserve">The challenge, as attached, seeks to establish a robust regulatory framework in accordance with the EECC, rendering such political interventions unnecessary.  Matt Warman's actions </w:t>
      </w:r>
      <w:r>
        <w:rPr>
          <w:rFonts w:ascii="Calibri" w:hAnsi="Calibri" w:cs="Calibri"/>
          <w:color w:val="000000"/>
          <w:sz w:val="21"/>
          <w:szCs w:val="21"/>
        </w:rPr>
        <w:t>highlight the necessity f</w:t>
      </w:r>
      <w:r>
        <w:rPr>
          <w:rFonts w:ascii="Calibri" w:hAnsi="Calibri" w:cs="Calibri"/>
          <w:sz w:val="21"/>
          <w:szCs w:val="21"/>
        </w:rPr>
        <w:t xml:space="preserve">or this to be established, as not all constituents have MPs who can pull rank </w:t>
      </w:r>
      <w:proofErr w:type="gramStart"/>
      <w:r>
        <w:rPr>
          <w:rFonts w:ascii="Calibri" w:hAnsi="Calibri" w:cs="Calibri"/>
          <w:sz w:val="21"/>
          <w:szCs w:val="21"/>
        </w:rPr>
        <w:t>in order to</w:t>
      </w:r>
      <w:proofErr w:type="gramEnd"/>
      <w:r>
        <w:rPr>
          <w:rFonts w:ascii="Calibri" w:hAnsi="Calibri" w:cs="Calibri"/>
          <w:sz w:val="21"/>
          <w:szCs w:val="21"/>
        </w:rPr>
        <w:t xml:space="preserve"> stop masts being placed outside schools.</w:t>
      </w:r>
    </w:p>
    <w:p w14:paraId="064B47CA" w14:textId="77777777" w:rsidR="00247DAA" w:rsidRDefault="00247DAA">
      <w:pPr>
        <w:pStyle w:val="Standard"/>
        <w:rPr>
          <w:rFonts w:ascii="Calibri" w:hAnsi="Calibri" w:cs="Calibri"/>
          <w:sz w:val="21"/>
          <w:szCs w:val="21"/>
        </w:rPr>
      </w:pPr>
    </w:p>
    <w:p w14:paraId="110DC1EA" w14:textId="77777777" w:rsidR="00247DAA" w:rsidRDefault="00000000">
      <w:pPr>
        <w:pStyle w:val="Standard"/>
        <w:rPr>
          <w:rFonts w:hint="eastAsia"/>
        </w:rPr>
      </w:pPr>
      <w:r>
        <w:rPr>
          <w:rFonts w:ascii="Calibri" w:hAnsi="Calibri" w:cs="Calibri"/>
          <w:sz w:val="21"/>
          <w:szCs w:val="21"/>
        </w:rPr>
        <w:t xml:space="preserve">The hypocrisy of the planning procedure requiring consultation with nearby schools whilst consultation with residents of adjacent housing occupied by children and preschool children, who are equally if not more vulnerable whilst sleeping at night, not being required, </w:t>
      </w:r>
      <w:r>
        <w:rPr>
          <w:rFonts w:ascii="Calibri" w:hAnsi="Calibri" w:cs="Calibri"/>
          <w:color w:val="000000"/>
          <w:sz w:val="21"/>
          <w:szCs w:val="21"/>
        </w:rPr>
        <w:t>was recognised an</w:t>
      </w:r>
      <w:r>
        <w:rPr>
          <w:rFonts w:ascii="Calibri" w:hAnsi="Calibri" w:cs="Calibri"/>
          <w:sz w:val="21"/>
          <w:szCs w:val="21"/>
        </w:rPr>
        <w:t>d correctly appraised by Mendip Planning Board.</w:t>
      </w:r>
    </w:p>
    <w:p w14:paraId="57D4E3F4" w14:textId="77777777" w:rsidR="00247DAA" w:rsidRDefault="00247DAA">
      <w:pPr>
        <w:pStyle w:val="Standard"/>
        <w:rPr>
          <w:rFonts w:ascii="Calibri" w:hAnsi="Calibri" w:cs="Calibri"/>
          <w:sz w:val="21"/>
          <w:szCs w:val="21"/>
        </w:rPr>
      </w:pPr>
    </w:p>
    <w:p w14:paraId="1D39FF74" w14:textId="77777777" w:rsidR="00247DAA" w:rsidRDefault="00000000">
      <w:pPr>
        <w:pStyle w:val="Standard"/>
        <w:rPr>
          <w:rFonts w:hint="eastAsia"/>
        </w:rPr>
      </w:pPr>
      <w:r w:rsidRPr="00D6743E">
        <w:rPr>
          <w:rFonts w:ascii="Calibri" w:hAnsi="Calibri" w:cs="Calibri"/>
          <w:color w:val="000000" w:themeColor="text1"/>
          <w:sz w:val="21"/>
          <w:szCs w:val="21"/>
        </w:rPr>
        <w:t xml:space="preserve">Despite Officers assuming </w:t>
      </w:r>
      <w:r>
        <w:rPr>
          <w:rFonts w:ascii="Calibri" w:hAnsi="Calibri" w:cs="Calibri"/>
          <w:color w:val="000000"/>
          <w:sz w:val="21"/>
          <w:szCs w:val="21"/>
        </w:rPr>
        <w:t xml:space="preserve">that public health obligations under the EECC could be achieved by solely applying </w:t>
      </w:r>
      <w:r>
        <w:rPr>
          <w:rFonts w:ascii="Calibri" w:hAnsi="Calibri" w:cs="Calibri"/>
          <w:b/>
          <w:bCs/>
          <w:color w:val="000000"/>
          <w:sz w:val="21"/>
          <w:szCs w:val="21"/>
        </w:rPr>
        <w:t>NPPF policy 117/118</w:t>
      </w:r>
      <w:r>
        <w:rPr>
          <w:rFonts w:ascii="Calibri" w:hAnsi="Calibri" w:cs="Calibri"/>
          <w:color w:val="000000"/>
          <w:sz w:val="21"/>
          <w:szCs w:val="21"/>
        </w:rPr>
        <w:t xml:space="preserve">, Mendip Planning Board decided to refuse an application (21/1952/FUL) for a 5G mast following the correct procedure of considering all available evidence alongside </w:t>
      </w:r>
      <w:r>
        <w:rPr>
          <w:rFonts w:ascii="Calibri" w:hAnsi="Calibri" w:cs="Calibri"/>
          <w:sz w:val="21"/>
          <w:szCs w:val="21"/>
        </w:rPr>
        <w:t>ICNIRP certification and supporting documentation from the Telecoms applicant about the benefits and risks.</w:t>
      </w:r>
    </w:p>
    <w:p w14:paraId="5509C9A0" w14:textId="77777777" w:rsidR="00247DAA" w:rsidRDefault="00247DAA">
      <w:pPr>
        <w:pStyle w:val="Standard"/>
        <w:rPr>
          <w:rFonts w:ascii="Calibri" w:hAnsi="Calibri" w:cs="Calibri"/>
          <w:sz w:val="21"/>
          <w:szCs w:val="21"/>
        </w:rPr>
      </w:pPr>
    </w:p>
    <w:p w14:paraId="7388D9B6" w14:textId="77777777" w:rsidR="00247DAA" w:rsidRDefault="00000000">
      <w:pPr>
        <w:pStyle w:val="Standard"/>
        <w:rPr>
          <w:rFonts w:hint="eastAsia"/>
        </w:rPr>
      </w:pPr>
      <w:r>
        <w:rPr>
          <w:rFonts w:ascii="Calibri" w:hAnsi="Calibri" w:cs="Calibri"/>
          <w:b/>
          <w:bCs/>
          <w:color w:val="000000"/>
          <w:sz w:val="21"/>
          <w:szCs w:val="21"/>
        </w:rPr>
        <w:t>Your authority</w:t>
      </w:r>
      <w:r>
        <w:rPr>
          <w:rFonts w:ascii="Calibri" w:hAnsi="Calibri" w:cs="Calibri"/>
          <w:color w:val="000000"/>
          <w:sz w:val="21"/>
          <w:szCs w:val="21"/>
        </w:rPr>
        <w:t xml:space="preserve"> is required similarly to </w:t>
      </w:r>
      <w:r>
        <w:rPr>
          <w:rFonts w:ascii="Calibri" w:hAnsi="Calibri" w:cs="Calibri"/>
          <w:b/>
          <w:bCs/>
          <w:color w:val="000000"/>
          <w:sz w:val="21"/>
          <w:szCs w:val="21"/>
        </w:rPr>
        <w:t>risk reconcile including all evidence</w:t>
      </w:r>
      <w:r>
        <w:rPr>
          <w:rFonts w:ascii="Calibri" w:hAnsi="Calibri" w:cs="Calibri"/>
          <w:color w:val="000000"/>
          <w:sz w:val="21"/>
          <w:szCs w:val="21"/>
        </w:rPr>
        <w:t xml:space="preserve"> of risk after screening to prevent avoidable harm, </w:t>
      </w:r>
      <w:proofErr w:type="gramStart"/>
      <w:r>
        <w:rPr>
          <w:rFonts w:ascii="Calibri" w:hAnsi="Calibri" w:cs="Calibri"/>
          <w:color w:val="000000"/>
          <w:sz w:val="21"/>
          <w:szCs w:val="21"/>
        </w:rPr>
        <w:t>injury</w:t>
      </w:r>
      <w:proofErr w:type="gramEnd"/>
      <w:r>
        <w:rPr>
          <w:rFonts w:ascii="Calibri" w:hAnsi="Calibri" w:cs="Calibri"/>
          <w:color w:val="000000"/>
          <w:sz w:val="21"/>
          <w:szCs w:val="21"/>
        </w:rPr>
        <w:t xml:space="preserve"> and nuisance (paragraph 1.8.9 set within the context of 1.8 within the attached submission, referring to appendix 2 sections A2.1 to A2.10)</w:t>
      </w:r>
    </w:p>
    <w:p w14:paraId="64150C1B" w14:textId="77777777" w:rsidR="00247DAA" w:rsidRDefault="00247DAA">
      <w:pPr>
        <w:pStyle w:val="Standard"/>
        <w:rPr>
          <w:rFonts w:ascii="Calibri" w:hAnsi="Calibri" w:cs="Calibri"/>
          <w:color w:val="000000"/>
          <w:sz w:val="21"/>
          <w:szCs w:val="21"/>
        </w:rPr>
      </w:pPr>
    </w:p>
    <w:p w14:paraId="167E64B8" w14:textId="77777777" w:rsidR="00247DAA" w:rsidRDefault="00000000">
      <w:pPr>
        <w:pStyle w:val="Standard"/>
        <w:rPr>
          <w:rFonts w:ascii="Calibri" w:hAnsi="Calibri" w:cs="Calibri"/>
          <w:color w:val="000000"/>
          <w:sz w:val="21"/>
          <w:szCs w:val="21"/>
        </w:rPr>
      </w:pPr>
      <w:r>
        <w:rPr>
          <w:rFonts w:ascii="Calibri" w:hAnsi="Calibri" w:cs="Calibri"/>
          <w:color w:val="000000"/>
          <w:sz w:val="21"/>
          <w:szCs w:val="21"/>
        </w:rPr>
        <w:t xml:space="preserve">The DLUHC and the </w:t>
      </w:r>
      <w:proofErr w:type="spellStart"/>
      <w:r>
        <w:rPr>
          <w:rFonts w:ascii="Calibri" w:hAnsi="Calibri" w:cs="Calibri"/>
          <w:color w:val="000000"/>
          <w:sz w:val="21"/>
          <w:szCs w:val="21"/>
        </w:rPr>
        <w:t>DoH</w:t>
      </w:r>
      <w:proofErr w:type="spellEnd"/>
      <w:r>
        <w:rPr>
          <w:rFonts w:ascii="Calibri" w:hAnsi="Calibri" w:cs="Calibri"/>
          <w:color w:val="000000"/>
          <w:sz w:val="21"/>
          <w:szCs w:val="21"/>
        </w:rPr>
        <w:t xml:space="preserve"> have been asked to respond to the challenge by the </w:t>
      </w:r>
      <w:proofErr w:type="gramStart"/>
      <w:r>
        <w:rPr>
          <w:rFonts w:ascii="Calibri" w:hAnsi="Calibri" w:cs="Calibri"/>
          <w:color w:val="000000"/>
          <w:sz w:val="21"/>
          <w:szCs w:val="21"/>
        </w:rPr>
        <w:t>10th</w:t>
      </w:r>
      <w:proofErr w:type="gramEnd"/>
      <w:r>
        <w:rPr>
          <w:rFonts w:ascii="Calibri" w:hAnsi="Calibri" w:cs="Calibri"/>
          <w:color w:val="000000"/>
          <w:sz w:val="21"/>
          <w:szCs w:val="21"/>
        </w:rPr>
        <w:t xml:space="preserve"> October bringing into effect immediately the following remedies:</w:t>
      </w:r>
    </w:p>
    <w:p w14:paraId="09EA9275" w14:textId="77777777" w:rsidR="00247DAA" w:rsidRDefault="00247DAA">
      <w:pPr>
        <w:pStyle w:val="Standard"/>
        <w:rPr>
          <w:rFonts w:ascii="Calibri" w:hAnsi="Calibri" w:cs="Calibri"/>
          <w:color w:val="000000"/>
          <w:sz w:val="21"/>
          <w:szCs w:val="21"/>
        </w:rPr>
      </w:pPr>
    </w:p>
    <w:p w14:paraId="07013B0B" w14:textId="77777777" w:rsidR="00247DAA" w:rsidRDefault="00000000">
      <w:pPr>
        <w:pStyle w:val="Standard"/>
        <w:rPr>
          <w:rFonts w:hint="eastAsia"/>
        </w:rPr>
      </w:pPr>
      <w:r>
        <w:rPr>
          <w:rFonts w:ascii="Calibri" w:hAnsi="Calibri" w:cs="Calibri"/>
          <w:i/>
          <w:iCs/>
          <w:color w:val="000000"/>
          <w:sz w:val="21"/>
          <w:szCs w:val="21"/>
        </w:rPr>
        <w:lastRenderedPageBreak/>
        <w:t>'</w:t>
      </w:r>
      <w:proofErr w:type="gramStart"/>
      <w:r>
        <w:rPr>
          <w:rFonts w:ascii="Calibri" w:hAnsi="Calibri" w:cs="Calibri"/>
          <w:i/>
          <w:iCs/>
          <w:color w:val="000000"/>
          <w:sz w:val="21"/>
          <w:szCs w:val="21"/>
        </w:rPr>
        <w:t>required</w:t>
      </w:r>
      <w:proofErr w:type="gramEnd"/>
      <w:r>
        <w:rPr>
          <w:rFonts w:ascii="Calibri" w:hAnsi="Calibri" w:cs="Calibri"/>
          <w:i/>
          <w:iCs/>
          <w:color w:val="000000"/>
          <w:sz w:val="21"/>
          <w:szCs w:val="21"/>
        </w:rPr>
        <w:t xml:space="preserve"> within the scope of the DLUHC and the </w:t>
      </w:r>
      <w:proofErr w:type="spellStart"/>
      <w:r>
        <w:rPr>
          <w:rFonts w:ascii="Calibri" w:hAnsi="Calibri" w:cs="Calibri"/>
          <w:i/>
          <w:iCs/>
          <w:color w:val="000000"/>
          <w:sz w:val="21"/>
          <w:szCs w:val="21"/>
        </w:rPr>
        <w:t>DoH</w:t>
      </w:r>
      <w:proofErr w:type="spellEnd"/>
      <w:r>
        <w:rPr>
          <w:rFonts w:ascii="Calibri" w:hAnsi="Calibri" w:cs="Calibri"/>
          <w:i/>
          <w:iCs/>
          <w:color w:val="000000"/>
          <w:sz w:val="21"/>
          <w:szCs w:val="21"/>
        </w:rPr>
        <w:t xml:space="preserve"> under Schedule 8 paragraph 39(5) EUWA 2018 powers'</w:t>
      </w:r>
      <w:r>
        <w:rPr>
          <w:rFonts w:ascii="Calibri" w:hAnsi="Calibri" w:cs="Calibri"/>
          <w:color w:val="000000"/>
          <w:sz w:val="21"/>
          <w:szCs w:val="21"/>
        </w:rPr>
        <w:t>,</w:t>
      </w:r>
    </w:p>
    <w:p w14:paraId="5542D2BC" w14:textId="77777777" w:rsidR="00247DAA" w:rsidRDefault="00247DAA">
      <w:pPr>
        <w:pStyle w:val="Standard"/>
        <w:rPr>
          <w:rFonts w:ascii="Calibri" w:hAnsi="Calibri" w:cs="Calibri"/>
          <w:color w:val="000000"/>
          <w:sz w:val="21"/>
          <w:szCs w:val="21"/>
        </w:rPr>
      </w:pPr>
    </w:p>
    <w:p w14:paraId="7F9B69E8" w14:textId="77777777" w:rsidR="00247DAA" w:rsidRDefault="00000000">
      <w:pPr>
        <w:pStyle w:val="Standard"/>
        <w:rPr>
          <w:rFonts w:hint="eastAsia"/>
        </w:rPr>
      </w:pPr>
      <w:r>
        <w:rPr>
          <w:rFonts w:ascii="Calibri" w:hAnsi="Calibri" w:cs="Calibri"/>
          <w:color w:val="000000"/>
          <w:sz w:val="21"/>
          <w:szCs w:val="21"/>
        </w:rPr>
        <w:t xml:space="preserve">being </w:t>
      </w:r>
      <w:r>
        <w:rPr>
          <w:rFonts w:ascii="Calibri" w:hAnsi="Calibri" w:cs="Calibri"/>
          <w:color w:val="000000"/>
          <w:sz w:val="21"/>
          <w:szCs w:val="21"/>
          <w:u w:val="single"/>
        </w:rPr>
        <w:t>Remedies 5 and 6</w:t>
      </w:r>
      <w:r>
        <w:rPr>
          <w:rFonts w:ascii="Calibri" w:hAnsi="Calibri" w:cs="Calibri"/>
          <w:color w:val="000000"/>
          <w:sz w:val="21"/>
          <w:szCs w:val="21"/>
        </w:rPr>
        <w:t xml:space="preserve"> (paragraph 5.2.9 of the challenge), </w:t>
      </w:r>
      <w:r>
        <w:rPr>
          <w:rFonts w:ascii="Calibri" w:hAnsi="Calibri" w:cs="Calibri"/>
          <w:color w:val="000000"/>
          <w:sz w:val="21"/>
          <w:szCs w:val="21"/>
          <w:u w:val="single"/>
        </w:rPr>
        <w:t>Remedy 14</w:t>
      </w:r>
      <w:r>
        <w:rPr>
          <w:rFonts w:ascii="Calibri" w:hAnsi="Calibri" w:cs="Calibri"/>
          <w:color w:val="000000"/>
          <w:sz w:val="21"/>
          <w:szCs w:val="21"/>
        </w:rPr>
        <w:t xml:space="preserve"> (paragraph 5.4.2 of the challenge), and </w:t>
      </w:r>
      <w:r>
        <w:rPr>
          <w:rFonts w:ascii="Calibri" w:hAnsi="Calibri" w:cs="Calibri"/>
          <w:color w:val="000000"/>
          <w:sz w:val="21"/>
          <w:szCs w:val="21"/>
          <w:u w:val="single"/>
        </w:rPr>
        <w:t>Remedies 15 and 16</w:t>
      </w:r>
      <w:r>
        <w:rPr>
          <w:rFonts w:ascii="Calibri" w:hAnsi="Calibri" w:cs="Calibri"/>
          <w:color w:val="000000"/>
          <w:sz w:val="21"/>
          <w:szCs w:val="21"/>
        </w:rPr>
        <w:t xml:space="preserve"> (paragraph 5.5.5 of the challenge).</w:t>
      </w:r>
    </w:p>
    <w:p w14:paraId="083AF3E7" w14:textId="77777777" w:rsidR="00247DAA" w:rsidRDefault="00247DAA">
      <w:pPr>
        <w:pStyle w:val="Standard"/>
        <w:rPr>
          <w:rFonts w:ascii="Calibri" w:hAnsi="Calibri" w:cs="Calibri"/>
          <w:color w:val="000000"/>
          <w:sz w:val="21"/>
          <w:szCs w:val="21"/>
        </w:rPr>
      </w:pPr>
    </w:p>
    <w:p w14:paraId="58AB99E4" w14:textId="77777777" w:rsidR="00247DAA" w:rsidRDefault="00000000">
      <w:pPr>
        <w:pStyle w:val="Textbody"/>
        <w:rPr>
          <w:rFonts w:hint="eastAsia"/>
        </w:rPr>
      </w:pPr>
      <w:r>
        <w:rPr>
          <w:rFonts w:ascii="Calibri" w:hAnsi="Calibri" w:cs="Calibri"/>
          <w:b/>
          <w:bCs/>
          <w:color w:val="000000"/>
          <w:sz w:val="21"/>
          <w:szCs w:val="21"/>
          <w:u w:val="single"/>
        </w:rPr>
        <w:t>Remedy 5</w:t>
      </w:r>
      <w:r>
        <w:rPr>
          <w:rFonts w:ascii="Calibri" w:hAnsi="Calibri" w:cs="Calibri"/>
          <w:b/>
          <w:bCs/>
          <w:color w:val="000000"/>
          <w:sz w:val="21"/>
          <w:szCs w:val="21"/>
        </w:rPr>
        <w:t xml:space="preserve"> being that:</w:t>
      </w:r>
    </w:p>
    <w:p w14:paraId="4A3BA9C7" w14:textId="77777777" w:rsidR="00247DAA" w:rsidRDefault="00000000">
      <w:pPr>
        <w:pStyle w:val="Textbody"/>
        <w:rPr>
          <w:rFonts w:ascii="Calibri" w:hAnsi="Calibri" w:cs="Calibri"/>
          <w:i/>
          <w:iCs/>
          <w:color w:val="000000"/>
          <w:sz w:val="21"/>
          <w:szCs w:val="21"/>
        </w:rPr>
      </w:pPr>
      <w:r>
        <w:rPr>
          <w:rFonts w:ascii="Calibri" w:hAnsi="Calibri" w:cs="Calibri"/>
          <w:i/>
          <w:iCs/>
          <w:color w:val="000000"/>
          <w:sz w:val="21"/>
          <w:szCs w:val="21"/>
        </w:rPr>
        <w:t>'The DLUHC/</w:t>
      </w:r>
      <w:proofErr w:type="spellStart"/>
      <w:r>
        <w:rPr>
          <w:rFonts w:ascii="Calibri" w:hAnsi="Calibri" w:cs="Calibri"/>
          <w:i/>
          <w:iCs/>
          <w:color w:val="000000"/>
          <w:sz w:val="21"/>
          <w:szCs w:val="21"/>
        </w:rPr>
        <w:t>DoH</w:t>
      </w:r>
      <w:proofErr w:type="spellEnd"/>
      <w:r>
        <w:rPr>
          <w:rFonts w:ascii="Calibri" w:hAnsi="Calibri" w:cs="Calibri"/>
          <w:i/>
          <w:iCs/>
          <w:color w:val="000000"/>
          <w:sz w:val="21"/>
          <w:szCs w:val="21"/>
        </w:rPr>
        <w:t xml:space="preserve"> will have to determine whether Matt Warman's,</w:t>
      </w:r>
    </w:p>
    <w:p w14:paraId="6DED0AFC" w14:textId="77777777" w:rsidR="00247DAA" w:rsidRDefault="00000000">
      <w:pPr>
        <w:pStyle w:val="Textbody"/>
        <w:rPr>
          <w:rFonts w:ascii="Calibri" w:hAnsi="Calibri" w:cs="Calibri"/>
          <w:i/>
          <w:iCs/>
          <w:color w:val="000000"/>
          <w:sz w:val="21"/>
          <w:szCs w:val="21"/>
        </w:rPr>
      </w:pPr>
      <w:r>
        <w:rPr>
          <w:rFonts w:ascii="Calibri" w:hAnsi="Calibri" w:cs="Calibri"/>
          <w:i/>
          <w:iCs/>
          <w:color w:val="000000"/>
          <w:sz w:val="21"/>
          <w:szCs w:val="21"/>
        </w:rPr>
        <w:t>'</w:t>
      </w:r>
      <w:proofErr w:type="gramStart"/>
      <w:r>
        <w:rPr>
          <w:rFonts w:ascii="Calibri" w:hAnsi="Calibri" w:cs="Calibri"/>
          <w:i/>
          <w:iCs/>
          <w:color w:val="000000"/>
          <w:sz w:val="21"/>
          <w:szCs w:val="21"/>
        </w:rPr>
        <w:t>where</w:t>
      </w:r>
      <w:proofErr w:type="gramEnd"/>
      <w:r>
        <w:rPr>
          <w:rFonts w:ascii="Calibri" w:hAnsi="Calibri" w:cs="Calibri"/>
          <w:i/>
          <w:iCs/>
          <w:color w:val="000000"/>
          <w:sz w:val="21"/>
          <w:szCs w:val="21"/>
        </w:rPr>
        <w:t xml:space="preserve"> they are considered competent authorities',</w:t>
      </w:r>
    </w:p>
    <w:p w14:paraId="39CB61A1" w14:textId="77777777" w:rsidR="00247DAA" w:rsidRDefault="00000000">
      <w:pPr>
        <w:pStyle w:val="Textbody"/>
        <w:rPr>
          <w:rFonts w:ascii="Calibri" w:hAnsi="Calibri" w:cs="Calibri"/>
          <w:color w:val="000000"/>
          <w:sz w:val="21"/>
          <w:szCs w:val="21"/>
        </w:rPr>
      </w:pPr>
      <w:r>
        <w:rPr>
          <w:rFonts w:ascii="Calibri" w:hAnsi="Calibri" w:cs="Calibri"/>
          <w:color w:val="000000"/>
          <w:sz w:val="21"/>
          <w:szCs w:val="21"/>
        </w:rPr>
        <w:t>is where LPA/LA public health protection obligations are crucial to the efficient spectrum management in accordance with EECC Article 45.2(h). And if so, the required public health protection provision operated by LPAs/LAs must be brought into effect immediately.</w:t>
      </w:r>
    </w:p>
    <w:p w14:paraId="4A6D2F89" w14:textId="77777777" w:rsidR="00247DAA" w:rsidRDefault="00000000">
      <w:pPr>
        <w:pStyle w:val="Textbody"/>
        <w:rPr>
          <w:rFonts w:hint="eastAsia"/>
        </w:rPr>
      </w:pPr>
      <w:r>
        <w:rPr>
          <w:rFonts w:ascii="Calibri" w:hAnsi="Calibri" w:cs="Calibri"/>
          <w:b/>
          <w:bCs/>
          <w:color w:val="000000"/>
          <w:sz w:val="21"/>
          <w:szCs w:val="21"/>
          <w:u w:val="single"/>
        </w:rPr>
        <w:t>Remedy 6</w:t>
      </w:r>
      <w:r>
        <w:rPr>
          <w:rFonts w:ascii="Calibri" w:hAnsi="Calibri" w:cs="Calibri"/>
          <w:b/>
          <w:bCs/>
          <w:color w:val="000000"/>
          <w:sz w:val="21"/>
          <w:szCs w:val="21"/>
        </w:rPr>
        <w:t xml:space="preserve"> being that:</w:t>
      </w:r>
    </w:p>
    <w:p w14:paraId="59C570A3" w14:textId="77777777" w:rsidR="00247DAA" w:rsidRDefault="00000000">
      <w:pPr>
        <w:pStyle w:val="Textbody"/>
        <w:rPr>
          <w:rFonts w:ascii="Calibri" w:hAnsi="Calibri" w:cs="Calibri"/>
          <w:i/>
          <w:iCs/>
          <w:color w:val="000000"/>
          <w:sz w:val="21"/>
          <w:szCs w:val="21"/>
        </w:rPr>
      </w:pPr>
      <w:r>
        <w:rPr>
          <w:rFonts w:ascii="Calibri" w:hAnsi="Calibri" w:cs="Calibri"/>
          <w:i/>
          <w:iCs/>
          <w:color w:val="000000"/>
          <w:sz w:val="21"/>
          <w:szCs w:val="21"/>
        </w:rPr>
        <w:t>'</w:t>
      </w:r>
      <w:proofErr w:type="gramStart"/>
      <w:r>
        <w:rPr>
          <w:rFonts w:ascii="Calibri" w:hAnsi="Calibri" w:cs="Calibri"/>
          <w:i/>
          <w:iCs/>
          <w:color w:val="000000"/>
          <w:sz w:val="21"/>
          <w:szCs w:val="21"/>
        </w:rPr>
        <w:t>the</w:t>
      </w:r>
      <w:proofErr w:type="gramEnd"/>
      <w:r>
        <w:rPr>
          <w:rFonts w:ascii="Calibri" w:hAnsi="Calibri" w:cs="Calibri"/>
          <w:i/>
          <w:iCs/>
          <w:color w:val="000000"/>
          <w:sz w:val="21"/>
          <w:szCs w:val="21"/>
        </w:rPr>
        <w:t xml:space="preserve"> immediate enactment of LPA/LA EECC competent authority status,</w:t>
      </w:r>
    </w:p>
    <w:p w14:paraId="067EFD34" w14:textId="77777777" w:rsidR="00247DAA" w:rsidRDefault="00000000">
      <w:pPr>
        <w:pStyle w:val="Standard"/>
        <w:rPr>
          <w:rFonts w:ascii="Calibri" w:hAnsi="Calibri" w:cs="Calibri"/>
          <w:i/>
          <w:iCs/>
          <w:color w:val="000000"/>
          <w:sz w:val="21"/>
          <w:szCs w:val="21"/>
        </w:rPr>
      </w:pPr>
      <w:r>
        <w:rPr>
          <w:rFonts w:ascii="Calibri" w:hAnsi="Calibri" w:cs="Calibri"/>
          <w:i/>
          <w:iCs/>
          <w:color w:val="000000"/>
          <w:sz w:val="21"/>
          <w:szCs w:val="21"/>
        </w:rPr>
        <w:t xml:space="preserve">'where' town planning functions need to be performed under EECC spectrum management, and consequently those functions generate specific EECC related material planning considerations that LPAs/LAs are obliged to take properly into account alongside other material planning considerations that UK planning law requires LPAs/LAs to consider when an application for a new mast/antennas or contractual arrangements for small cell siting arise (Remedy 5, above)', </w:t>
      </w:r>
    </w:p>
    <w:p w14:paraId="50C45B27" w14:textId="77777777" w:rsidR="00247DAA" w:rsidRDefault="00247DAA">
      <w:pPr>
        <w:pStyle w:val="Standard"/>
        <w:rPr>
          <w:rFonts w:ascii="Calibri" w:hAnsi="Calibri" w:cs="Calibri"/>
          <w:i/>
          <w:iCs/>
          <w:color w:val="000000"/>
          <w:sz w:val="21"/>
          <w:szCs w:val="21"/>
        </w:rPr>
      </w:pPr>
    </w:p>
    <w:p w14:paraId="17E9C7E7" w14:textId="77777777" w:rsidR="00247DAA" w:rsidRDefault="00000000">
      <w:pPr>
        <w:pStyle w:val="Standard"/>
        <w:rPr>
          <w:rFonts w:hint="eastAsia"/>
        </w:rPr>
      </w:pPr>
      <w:r>
        <w:rPr>
          <w:rFonts w:ascii="Calibri" w:hAnsi="Calibri" w:cs="Calibri"/>
          <w:i/>
          <w:iCs/>
          <w:color w:val="000000"/>
          <w:sz w:val="21"/>
          <w:szCs w:val="21"/>
        </w:rPr>
        <w:t xml:space="preserve">can be accomplished by the DLUHC accepting that the precedent set by the ruling in the </w:t>
      </w:r>
      <w:r>
        <w:rPr>
          <w:rFonts w:ascii="Calibri" w:hAnsi="Calibri" w:cs="Calibri"/>
          <w:b/>
          <w:bCs/>
          <w:i/>
          <w:iCs/>
          <w:color w:val="000000"/>
          <w:sz w:val="21"/>
          <w:szCs w:val="21"/>
        </w:rPr>
        <w:t>Wells</w:t>
      </w:r>
      <w:r>
        <w:rPr>
          <w:rFonts w:ascii="Calibri" w:hAnsi="Calibri" w:cs="Calibri"/>
          <w:i/>
          <w:iCs/>
          <w:color w:val="000000"/>
          <w:sz w:val="21"/>
          <w:szCs w:val="21"/>
        </w:rPr>
        <w:t xml:space="preserve"> case, that,</w:t>
      </w:r>
    </w:p>
    <w:p w14:paraId="7EA6AF7F" w14:textId="77777777" w:rsidR="00247DAA" w:rsidRDefault="00247DAA">
      <w:pPr>
        <w:pStyle w:val="Standard"/>
        <w:rPr>
          <w:rFonts w:ascii="Calibri" w:hAnsi="Calibri" w:cs="Calibri"/>
          <w:i/>
          <w:iCs/>
          <w:color w:val="000000"/>
          <w:sz w:val="21"/>
          <w:szCs w:val="21"/>
        </w:rPr>
      </w:pPr>
    </w:p>
    <w:p w14:paraId="5BA79F62" w14:textId="77777777" w:rsidR="00247DAA" w:rsidRDefault="00000000">
      <w:pPr>
        <w:pStyle w:val="Standard"/>
        <w:rPr>
          <w:rFonts w:ascii="Calibri" w:hAnsi="Calibri" w:cs="Calibri"/>
          <w:i/>
          <w:iCs/>
          <w:color w:val="000000"/>
          <w:sz w:val="21"/>
          <w:szCs w:val="21"/>
        </w:rPr>
      </w:pPr>
      <w:r>
        <w:rPr>
          <w:rFonts w:ascii="Calibri" w:hAnsi="Calibri" w:cs="Calibri"/>
          <w:i/>
          <w:iCs/>
          <w:color w:val="000000"/>
          <w:sz w:val="21"/>
          <w:szCs w:val="21"/>
        </w:rPr>
        <w:t>'it is for the competent authorities of a Member State (the UK now being an EECC participating nation state) to take, within the sphere of their competence, all the general or particular measures necessary to ensure that projects are examined in order to determine whether they are likely to have significant effects on the environment and, if so, to ensure that they are subject to an impact assessment',</w:t>
      </w:r>
    </w:p>
    <w:p w14:paraId="489A635E" w14:textId="77777777" w:rsidR="00247DAA" w:rsidRDefault="00247DAA">
      <w:pPr>
        <w:pStyle w:val="Standard"/>
        <w:rPr>
          <w:rFonts w:ascii="Calibri" w:hAnsi="Calibri" w:cs="Calibri"/>
          <w:i/>
          <w:iCs/>
          <w:color w:val="000000"/>
          <w:sz w:val="21"/>
          <w:szCs w:val="21"/>
        </w:rPr>
      </w:pPr>
    </w:p>
    <w:p w14:paraId="65E2F526" w14:textId="77777777" w:rsidR="00247DAA" w:rsidRDefault="00000000">
      <w:pPr>
        <w:pStyle w:val="Standard"/>
        <w:rPr>
          <w:rFonts w:ascii="Calibri" w:hAnsi="Calibri" w:cs="Calibri"/>
          <w:i/>
          <w:iCs/>
          <w:color w:val="000000"/>
          <w:sz w:val="21"/>
          <w:szCs w:val="21"/>
        </w:rPr>
      </w:pPr>
      <w:r>
        <w:rPr>
          <w:rFonts w:ascii="Calibri" w:hAnsi="Calibri" w:cs="Calibri"/>
          <w:i/>
          <w:iCs/>
          <w:color w:val="000000"/>
          <w:sz w:val="21"/>
          <w:szCs w:val="21"/>
        </w:rPr>
        <w:t xml:space="preserve">can be enacted by LPAs/LAs under the Town and Country Planning (Environmental Impact Assessment) 2017 Regulations (England) and its equivalent devolved powers in Scotland, </w:t>
      </w:r>
      <w:proofErr w:type="gramStart"/>
      <w:r>
        <w:rPr>
          <w:rFonts w:ascii="Calibri" w:hAnsi="Calibri" w:cs="Calibri"/>
          <w:i/>
          <w:iCs/>
          <w:color w:val="000000"/>
          <w:sz w:val="21"/>
          <w:szCs w:val="21"/>
        </w:rPr>
        <w:t>Wales</w:t>
      </w:r>
      <w:proofErr w:type="gramEnd"/>
      <w:r>
        <w:rPr>
          <w:rFonts w:ascii="Calibri" w:hAnsi="Calibri" w:cs="Calibri"/>
          <w:i/>
          <w:iCs/>
          <w:color w:val="000000"/>
          <w:sz w:val="21"/>
          <w:szCs w:val="21"/>
        </w:rPr>
        <w:t xml:space="preserve"> and Northern Ireland'.</w:t>
      </w:r>
    </w:p>
    <w:p w14:paraId="4EE39124" w14:textId="77777777" w:rsidR="00247DAA" w:rsidRDefault="00247DAA">
      <w:pPr>
        <w:pStyle w:val="Standard"/>
        <w:rPr>
          <w:rFonts w:ascii="Calibri" w:hAnsi="Calibri" w:cs="Calibri"/>
          <w:color w:val="000000"/>
          <w:sz w:val="21"/>
          <w:szCs w:val="21"/>
        </w:rPr>
      </w:pPr>
    </w:p>
    <w:p w14:paraId="0B43DFDB" w14:textId="77777777" w:rsidR="00247DAA" w:rsidRDefault="00000000">
      <w:pPr>
        <w:pStyle w:val="Standard"/>
        <w:rPr>
          <w:rFonts w:hint="eastAsia"/>
        </w:rPr>
      </w:pPr>
      <w:r>
        <w:rPr>
          <w:rFonts w:ascii="Calibri" w:hAnsi="Calibri" w:cs="Calibri"/>
          <w:b/>
          <w:bCs/>
          <w:color w:val="000000"/>
          <w:sz w:val="21"/>
          <w:szCs w:val="21"/>
          <w:u w:val="single"/>
        </w:rPr>
        <w:t>Remedy 14</w:t>
      </w:r>
      <w:r>
        <w:rPr>
          <w:rFonts w:ascii="Calibri" w:hAnsi="Calibri" w:cs="Calibri"/>
          <w:b/>
          <w:bCs/>
          <w:color w:val="000000"/>
          <w:sz w:val="21"/>
          <w:szCs w:val="21"/>
        </w:rPr>
        <w:t xml:space="preserve"> being that:</w:t>
      </w:r>
    </w:p>
    <w:p w14:paraId="45EF9CDD" w14:textId="77777777" w:rsidR="00247DAA" w:rsidRDefault="00247DAA">
      <w:pPr>
        <w:pStyle w:val="Standard"/>
        <w:rPr>
          <w:rFonts w:ascii="Calibri" w:hAnsi="Calibri" w:cs="Calibri"/>
          <w:color w:val="000000"/>
          <w:sz w:val="21"/>
          <w:szCs w:val="21"/>
        </w:rPr>
      </w:pPr>
    </w:p>
    <w:p w14:paraId="1461AEFE" w14:textId="77777777" w:rsidR="00247DAA" w:rsidRDefault="00000000">
      <w:pPr>
        <w:pStyle w:val="Standard"/>
        <w:rPr>
          <w:rFonts w:hint="eastAsia"/>
        </w:rPr>
      </w:pPr>
      <w:r>
        <w:rPr>
          <w:rFonts w:ascii="Calibri" w:hAnsi="Calibri" w:cs="Calibri"/>
          <w:b/>
          <w:i/>
          <w:iCs/>
          <w:color w:val="000000"/>
          <w:sz w:val="21"/>
          <w:szCs w:val="21"/>
        </w:rPr>
        <w:t>'</w:t>
      </w:r>
      <w:proofErr w:type="gramStart"/>
      <w:r>
        <w:rPr>
          <w:rFonts w:ascii="Calibri" w:hAnsi="Calibri" w:cs="Calibri"/>
          <w:i/>
          <w:iCs/>
          <w:color w:val="000000"/>
          <w:sz w:val="21"/>
          <w:szCs w:val="21"/>
        </w:rPr>
        <w:t>recognition</w:t>
      </w:r>
      <w:proofErr w:type="gramEnd"/>
      <w:r>
        <w:rPr>
          <w:rFonts w:ascii="Calibri" w:hAnsi="Calibri" w:cs="Calibri"/>
          <w:i/>
          <w:iCs/>
          <w:color w:val="000000"/>
          <w:sz w:val="21"/>
          <w:szCs w:val="21"/>
        </w:rPr>
        <w:t xml:space="preserve"> that no progress is possible on the efficient management of the spectrum until LPA/LA EECC competent authority status is confirmed, and that status should be affirmed definitively in a Departmental response to this Schedule 8, paragraph 39(5) EUWA 2018 submission'.</w:t>
      </w:r>
    </w:p>
    <w:p w14:paraId="0282FE8C" w14:textId="77777777" w:rsidR="00247DAA" w:rsidRDefault="00247DAA">
      <w:pPr>
        <w:pStyle w:val="Standard"/>
        <w:rPr>
          <w:rFonts w:ascii="Calibri" w:hAnsi="Calibri" w:cs="Calibri"/>
          <w:color w:val="000000"/>
          <w:sz w:val="21"/>
          <w:szCs w:val="21"/>
        </w:rPr>
      </w:pPr>
    </w:p>
    <w:p w14:paraId="766C0424" w14:textId="77777777" w:rsidR="00247DAA" w:rsidRDefault="00000000">
      <w:pPr>
        <w:pStyle w:val="Standard"/>
        <w:rPr>
          <w:rFonts w:hint="eastAsia"/>
        </w:rPr>
      </w:pPr>
      <w:r>
        <w:rPr>
          <w:rFonts w:ascii="Calibri" w:hAnsi="Calibri" w:cs="Calibri"/>
          <w:b/>
          <w:bCs/>
          <w:color w:val="000000"/>
          <w:sz w:val="21"/>
          <w:szCs w:val="21"/>
          <w:u w:val="single"/>
        </w:rPr>
        <w:t>Remedy 15</w:t>
      </w:r>
      <w:r>
        <w:rPr>
          <w:rFonts w:ascii="Calibri" w:hAnsi="Calibri" w:cs="Calibri"/>
          <w:b/>
          <w:bCs/>
          <w:color w:val="000000"/>
          <w:sz w:val="21"/>
          <w:szCs w:val="21"/>
        </w:rPr>
        <w:t xml:space="preserve"> requires the </w:t>
      </w:r>
      <w:proofErr w:type="gramStart"/>
      <w:r>
        <w:rPr>
          <w:rFonts w:ascii="Calibri" w:hAnsi="Calibri" w:cs="Calibri"/>
          <w:b/>
          <w:bCs/>
          <w:color w:val="000000"/>
          <w:sz w:val="21"/>
          <w:szCs w:val="21"/>
        </w:rPr>
        <w:t>DLUHC's</w:t>
      </w:r>
      <w:proofErr w:type="gramEnd"/>
    </w:p>
    <w:p w14:paraId="28E7DDA1" w14:textId="77777777" w:rsidR="00247DAA" w:rsidRDefault="00247DAA">
      <w:pPr>
        <w:pStyle w:val="Standard"/>
        <w:rPr>
          <w:rFonts w:ascii="Calibri" w:hAnsi="Calibri" w:cs="Calibri"/>
          <w:i/>
          <w:iCs/>
          <w:color w:val="000000"/>
          <w:sz w:val="21"/>
          <w:szCs w:val="21"/>
        </w:rPr>
      </w:pPr>
    </w:p>
    <w:p w14:paraId="622E4054" w14:textId="77777777" w:rsidR="00247DAA" w:rsidRDefault="00000000">
      <w:pPr>
        <w:pStyle w:val="Standard"/>
        <w:rPr>
          <w:rFonts w:hint="eastAsia"/>
        </w:rPr>
      </w:pPr>
      <w:r>
        <w:rPr>
          <w:rFonts w:ascii="Calibri" w:hAnsi="Calibri" w:cs="Calibri"/>
          <w:i/>
          <w:iCs/>
          <w:color w:val="000000"/>
          <w:sz w:val="21"/>
          <w:szCs w:val="21"/>
        </w:rPr>
        <w:t xml:space="preserve">'acceptance that the case R (on the application of </w:t>
      </w:r>
      <w:proofErr w:type="spellStart"/>
      <w:r>
        <w:rPr>
          <w:rFonts w:ascii="Calibri" w:hAnsi="Calibri" w:cs="Calibri"/>
          <w:i/>
          <w:iCs/>
          <w:color w:val="000000"/>
          <w:sz w:val="21"/>
          <w:szCs w:val="21"/>
        </w:rPr>
        <w:t>Delena</w:t>
      </w:r>
      <w:proofErr w:type="spellEnd"/>
      <w:r>
        <w:rPr>
          <w:rFonts w:ascii="Calibri" w:hAnsi="Calibri" w:cs="Calibri"/>
          <w:i/>
          <w:iCs/>
          <w:color w:val="000000"/>
          <w:sz w:val="21"/>
          <w:szCs w:val="21"/>
        </w:rPr>
        <w:t xml:space="preserve"> Wells) v Secretary of State for Transport, Local Government and the Regions (2004) is a comparable 'of a kind' case to the case made in this Schedule 8, paragraph 35(9) submission, where the relevant principles of European law that led to the decision on the flawed transposition of the relevant directive in the </w:t>
      </w:r>
      <w:r>
        <w:rPr>
          <w:rFonts w:ascii="Calibri" w:hAnsi="Calibri" w:cs="Calibri"/>
          <w:b/>
          <w:bCs/>
          <w:i/>
          <w:iCs/>
          <w:color w:val="000000"/>
          <w:sz w:val="21"/>
          <w:szCs w:val="21"/>
        </w:rPr>
        <w:t xml:space="preserve">Wells </w:t>
      </w:r>
      <w:r>
        <w:rPr>
          <w:rFonts w:ascii="Calibri" w:hAnsi="Calibri" w:cs="Calibri"/>
          <w:i/>
          <w:iCs/>
          <w:color w:val="000000"/>
          <w:sz w:val="21"/>
          <w:szCs w:val="21"/>
        </w:rPr>
        <w:t xml:space="preserve">case, that include the 'principle of legal certainty' (used as a defence to justify inaction by the UK government in the </w:t>
      </w:r>
      <w:r>
        <w:rPr>
          <w:rFonts w:ascii="Calibri" w:hAnsi="Calibri" w:cs="Calibri"/>
          <w:b/>
          <w:bCs/>
          <w:i/>
          <w:iCs/>
          <w:color w:val="000000"/>
          <w:sz w:val="21"/>
          <w:szCs w:val="21"/>
        </w:rPr>
        <w:t>Wells</w:t>
      </w:r>
      <w:r>
        <w:rPr>
          <w:rFonts w:ascii="Calibri" w:hAnsi="Calibri" w:cs="Calibri"/>
          <w:i/>
          <w:iCs/>
          <w:color w:val="000000"/>
          <w:sz w:val="21"/>
          <w:szCs w:val="21"/>
        </w:rPr>
        <w:t xml:space="preserve"> case), concerned direct citizen rights that were under contention, which parallel the direct rights under contention in the case presented in this submission,</w:t>
      </w:r>
    </w:p>
    <w:p w14:paraId="2366C45D" w14:textId="77777777" w:rsidR="00247DAA" w:rsidRDefault="00247DAA">
      <w:pPr>
        <w:pStyle w:val="Standard"/>
        <w:rPr>
          <w:rFonts w:ascii="Calibri" w:hAnsi="Calibri" w:cs="Calibri"/>
          <w:color w:val="000000"/>
          <w:sz w:val="21"/>
          <w:szCs w:val="21"/>
        </w:rPr>
      </w:pPr>
    </w:p>
    <w:p w14:paraId="3887E234" w14:textId="77777777" w:rsidR="00247DAA" w:rsidRDefault="00000000">
      <w:pPr>
        <w:pStyle w:val="Standard"/>
        <w:rPr>
          <w:rFonts w:hint="eastAsia"/>
        </w:rPr>
      </w:pPr>
      <w:proofErr w:type="gramStart"/>
      <w:r>
        <w:rPr>
          <w:rFonts w:ascii="Calibri" w:hAnsi="Calibri" w:cs="Calibri"/>
          <w:b/>
          <w:bCs/>
          <w:color w:val="000000"/>
          <w:sz w:val="21"/>
          <w:szCs w:val="21"/>
        </w:rPr>
        <w:t>And,</w:t>
      </w:r>
      <w:proofErr w:type="gramEnd"/>
      <w:r>
        <w:rPr>
          <w:rFonts w:ascii="Calibri" w:hAnsi="Calibri" w:cs="Calibri"/>
          <w:b/>
          <w:bCs/>
          <w:color w:val="000000"/>
          <w:sz w:val="21"/>
          <w:szCs w:val="21"/>
        </w:rPr>
        <w:t xml:space="preserve"> </w:t>
      </w:r>
      <w:r>
        <w:rPr>
          <w:rFonts w:ascii="Calibri" w:hAnsi="Calibri" w:cs="Calibri"/>
          <w:b/>
          <w:bCs/>
          <w:color w:val="000000"/>
          <w:sz w:val="21"/>
          <w:szCs w:val="21"/>
          <w:u w:val="single"/>
        </w:rPr>
        <w:t>Remedy 16</w:t>
      </w:r>
      <w:r>
        <w:rPr>
          <w:rFonts w:ascii="Calibri" w:hAnsi="Calibri" w:cs="Calibri"/>
          <w:b/>
          <w:bCs/>
          <w:color w:val="000000"/>
          <w:sz w:val="21"/>
          <w:szCs w:val="21"/>
        </w:rPr>
        <w:t xml:space="preserve"> requires the DLUHC's</w:t>
      </w:r>
    </w:p>
    <w:p w14:paraId="4FFDA421" w14:textId="77777777" w:rsidR="00247DAA" w:rsidRDefault="00247DAA">
      <w:pPr>
        <w:pStyle w:val="Standard"/>
        <w:rPr>
          <w:rFonts w:ascii="Calibri" w:hAnsi="Calibri" w:cs="Calibri"/>
          <w:b/>
          <w:color w:val="000000"/>
          <w:sz w:val="21"/>
          <w:szCs w:val="21"/>
        </w:rPr>
      </w:pPr>
    </w:p>
    <w:p w14:paraId="508E6B84" w14:textId="77777777" w:rsidR="00247DAA" w:rsidRDefault="00000000">
      <w:pPr>
        <w:pStyle w:val="Standard"/>
        <w:rPr>
          <w:rFonts w:hint="eastAsia"/>
        </w:rPr>
      </w:pPr>
      <w:r>
        <w:rPr>
          <w:rFonts w:ascii="Calibri" w:hAnsi="Calibri" w:cs="Calibri"/>
          <w:b/>
          <w:i/>
          <w:iCs/>
          <w:color w:val="000000"/>
          <w:sz w:val="21"/>
          <w:szCs w:val="21"/>
        </w:rPr>
        <w:t>'</w:t>
      </w:r>
      <w:proofErr w:type="gramStart"/>
      <w:r>
        <w:rPr>
          <w:rFonts w:ascii="Calibri" w:hAnsi="Calibri" w:cs="Calibri"/>
          <w:i/>
          <w:iCs/>
          <w:color w:val="000000"/>
          <w:sz w:val="21"/>
          <w:szCs w:val="21"/>
        </w:rPr>
        <w:t>acceptance</w:t>
      </w:r>
      <w:proofErr w:type="gramEnd"/>
      <w:r>
        <w:rPr>
          <w:rFonts w:ascii="Calibri" w:hAnsi="Calibri" w:cs="Calibri"/>
          <w:i/>
          <w:iCs/>
          <w:color w:val="000000"/>
          <w:sz w:val="21"/>
          <w:szCs w:val="21"/>
        </w:rPr>
        <w:t xml:space="preserve"> that the deficiency is constitutionally significant, irrespective of the changing status of EU Retained law over the past four years'.</w:t>
      </w:r>
    </w:p>
    <w:p w14:paraId="02BF8584" w14:textId="77777777" w:rsidR="00247DAA" w:rsidRDefault="00247DAA">
      <w:pPr>
        <w:pStyle w:val="Standard"/>
        <w:rPr>
          <w:rFonts w:ascii="Calibri" w:hAnsi="Calibri" w:cs="Calibri"/>
          <w:color w:val="000000"/>
          <w:sz w:val="21"/>
          <w:szCs w:val="21"/>
        </w:rPr>
      </w:pPr>
    </w:p>
    <w:p w14:paraId="0871D546" w14:textId="77777777" w:rsidR="00247DAA" w:rsidRDefault="00000000">
      <w:pPr>
        <w:pStyle w:val="Standard"/>
        <w:rPr>
          <w:rFonts w:hint="eastAsia"/>
        </w:rPr>
      </w:pPr>
      <w:r>
        <w:rPr>
          <w:rFonts w:ascii="Calibri" w:hAnsi="Calibri" w:cs="Calibri"/>
          <w:color w:val="000000"/>
          <w:sz w:val="21"/>
          <w:szCs w:val="21"/>
        </w:rPr>
        <w:t xml:space="preserve">Irrespective of the current ambiguities and whilst the government process the submission, your authority should recognise that there are only </w:t>
      </w:r>
      <w:r>
        <w:rPr>
          <w:rFonts w:ascii="Calibri" w:hAnsi="Calibri" w:cs="Calibri"/>
          <w:b/>
          <w:bCs/>
          <w:color w:val="000000"/>
          <w:sz w:val="21"/>
          <w:szCs w:val="21"/>
        </w:rPr>
        <w:t>three possible</w:t>
      </w:r>
      <w:r>
        <w:rPr>
          <w:rFonts w:ascii="Calibri" w:hAnsi="Calibri" w:cs="Calibri"/>
          <w:color w:val="000000"/>
          <w:sz w:val="21"/>
          <w:szCs w:val="21"/>
        </w:rPr>
        <w:t xml:space="preserve"> </w:t>
      </w:r>
      <w:r>
        <w:rPr>
          <w:rFonts w:ascii="Calibri" w:hAnsi="Calibri" w:cs="Calibri"/>
          <w:b/>
          <w:bCs/>
          <w:color w:val="000000"/>
          <w:sz w:val="21"/>
          <w:szCs w:val="21"/>
        </w:rPr>
        <w:t>outcomes</w:t>
      </w:r>
      <w:r>
        <w:rPr>
          <w:rFonts w:ascii="Calibri" w:hAnsi="Calibri" w:cs="Calibri"/>
          <w:color w:val="000000"/>
          <w:sz w:val="21"/>
          <w:szCs w:val="21"/>
        </w:rPr>
        <w:t xml:space="preserve"> re: the siting of telecommunications equipment (outlined in paragraph 1.7.10 of the submission, set in the context of section 1 of the attached submission):</w:t>
      </w:r>
    </w:p>
    <w:p w14:paraId="120F9A61" w14:textId="77777777" w:rsidR="00247DAA" w:rsidRDefault="00247DAA">
      <w:pPr>
        <w:pStyle w:val="Standard"/>
        <w:rPr>
          <w:rFonts w:ascii="Calibri" w:hAnsi="Calibri" w:cs="Calibri"/>
          <w:i/>
          <w:iCs/>
          <w:color w:val="000000"/>
          <w:sz w:val="21"/>
          <w:szCs w:val="21"/>
        </w:rPr>
      </w:pPr>
    </w:p>
    <w:p w14:paraId="7BA22B54" w14:textId="77777777" w:rsidR="00247DAA" w:rsidRDefault="00000000">
      <w:pPr>
        <w:pStyle w:val="Standard"/>
        <w:rPr>
          <w:rFonts w:ascii="Calibri" w:hAnsi="Calibri" w:cs="Calibri"/>
          <w:i/>
          <w:iCs/>
          <w:color w:val="000000"/>
          <w:sz w:val="21"/>
          <w:szCs w:val="21"/>
        </w:rPr>
      </w:pPr>
      <w:r>
        <w:rPr>
          <w:rFonts w:ascii="Calibri" w:hAnsi="Calibri" w:cs="Calibri"/>
          <w:i/>
          <w:iCs/>
          <w:color w:val="000000"/>
          <w:sz w:val="21"/>
          <w:szCs w:val="21"/>
        </w:rPr>
        <w:t>'LPA/LA appraisal of established adverse health effects of mast/antennas siting and small cell deployment in accordance with the European Council Recommendation 1999/519/EC (paragraph 4, see paragraph 1.5.9, above), when applied to the incompatible and unacceptable use material planning consideration 'in situ', may result in three outcomes:</w:t>
      </w:r>
    </w:p>
    <w:p w14:paraId="17653E00" w14:textId="77777777" w:rsidR="00247DAA" w:rsidRDefault="00247DAA">
      <w:pPr>
        <w:pStyle w:val="Standard"/>
        <w:rPr>
          <w:rFonts w:ascii="Calibri" w:hAnsi="Calibri" w:cs="Calibri"/>
          <w:i/>
          <w:iCs/>
          <w:color w:val="000000"/>
          <w:sz w:val="21"/>
          <w:szCs w:val="21"/>
        </w:rPr>
      </w:pPr>
    </w:p>
    <w:p w14:paraId="22084744" w14:textId="77777777" w:rsidR="00247DAA" w:rsidRDefault="00000000">
      <w:pPr>
        <w:pStyle w:val="Standard"/>
        <w:rPr>
          <w:rFonts w:ascii="Calibri" w:hAnsi="Calibri" w:cs="Calibri"/>
          <w:i/>
          <w:iCs/>
          <w:color w:val="000000"/>
          <w:sz w:val="21"/>
          <w:szCs w:val="21"/>
        </w:rPr>
      </w:pPr>
      <w:proofErr w:type="spellStart"/>
      <w:r>
        <w:rPr>
          <w:rFonts w:ascii="Calibri" w:hAnsi="Calibri" w:cs="Calibri"/>
          <w:i/>
          <w:iCs/>
          <w:color w:val="000000"/>
          <w:sz w:val="21"/>
          <w:szCs w:val="21"/>
        </w:rPr>
        <w:t>i</w:t>
      </w:r>
      <w:proofErr w:type="spellEnd"/>
      <w:r>
        <w:rPr>
          <w:rFonts w:ascii="Calibri" w:hAnsi="Calibri" w:cs="Calibri"/>
          <w:i/>
          <w:iCs/>
          <w:color w:val="000000"/>
          <w:sz w:val="21"/>
          <w:szCs w:val="21"/>
        </w:rPr>
        <w:t>) incompatible and unacceptable use may not be evidenced through established adverse health effects,</w:t>
      </w:r>
    </w:p>
    <w:p w14:paraId="32A2B733" w14:textId="77777777" w:rsidR="00247DAA" w:rsidRDefault="00247DAA">
      <w:pPr>
        <w:pStyle w:val="Standard"/>
        <w:rPr>
          <w:rFonts w:ascii="Calibri" w:hAnsi="Calibri" w:cs="Calibri"/>
          <w:i/>
          <w:iCs/>
          <w:color w:val="000000"/>
          <w:sz w:val="21"/>
          <w:szCs w:val="21"/>
        </w:rPr>
      </w:pPr>
    </w:p>
    <w:p w14:paraId="275ADB8C" w14:textId="77777777" w:rsidR="00247DAA" w:rsidRDefault="00000000">
      <w:pPr>
        <w:pStyle w:val="Standard"/>
        <w:rPr>
          <w:rFonts w:ascii="Calibri" w:hAnsi="Calibri" w:cs="Calibri"/>
          <w:i/>
          <w:iCs/>
          <w:color w:val="000000"/>
          <w:sz w:val="21"/>
          <w:szCs w:val="21"/>
        </w:rPr>
      </w:pPr>
      <w:r>
        <w:rPr>
          <w:rFonts w:ascii="Calibri" w:hAnsi="Calibri" w:cs="Calibri"/>
          <w:i/>
          <w:iCs/>
          <w:color w:val="000000"/>
          <w:sz w:val="21"/>
          <w:szCs w:val="21"/>
        </w:rPr>
        <w:t>ii) incompatible and unacceptable use may be validated by established adverse health effects,</w:t>
      </w:r>
    </w:p>
    <w:p w14:paraId="63A5504A" w14:textId="77777777" w:rsidR="00247DAA" w:rsidRDefault="00247DAA">
      <w:pPr>
        <w:pStyle w:val="Standard"/>
        <w:rPr>
          <w:rFonts w:ascii="Calibri" w:hAnsi="Calibri" w:cs="Calibri"/>
          <w:i/>
          <w:iCs/>
          <w:color w:val="000000"/>
          <w:sz w:val="21"/>
          <w:szCs w:val="21"/>
        </w:rPr>
      </w:pPr>
    </w:p>
    <w:p w14:paraId="58061D32" w14:textId="77777777" w:rsidR="00247DAA" w:rsidRDefault="00000000">
      <w:pPr>
        <w:pStyle w:val="Standard"/>
        <w:rPr>
          <w:rFonts w:ascii="Calibri" w:hAnsi="Calibri" w:cs="Calibri"/>
          <w:i/>
          <w:iCs/>
          <w:color w:val="000000"/>
          <w:sz w:val="21"/>
          <w:szCs w:val="21"/>
        </w:rPr>
      </w:pPr>
      <w:r>
        <w:rPr>
          <w:rFonts w:ascii="Calibri" w:hAnsi="Calibri" w:cs="Calibri"/>
          <w:i/>
          <w:iCs/>
          <w:color w:val="000000"/>
          <w:sz w:val="21"/>
          <w:szCs w:val="21"/>
        </w:rPr>
        <w:t>or,</w:t>
      </w:r>
    </w:p>
    <w:p w14:paraId="7D9AD9BB" w14:textId="77777777" w:rsidR="00247DAA" w:rsidRDefault="00247DAA">
      <w:pPr>
        <w:pStyle w:val="Standard"/>
        <w:rPr>
          <w:rFonts w:ascii="Calibri" w:hAnsi="Calibri" w:cs="Calibri"/>
          <w:i/>
          <w:iCs/>
          <w:color w:val="000000"/>
          <w:sz w:val="21"/>
          <w:szCs w:val="21"/>
        </w:rPr>
      </w:pPr>
    </w:p>
    <w:p w14:paraId="389FE195" w14:textId="77777777" w:rsidR="00247DAA" w:rsidRDefault="00000000">
      <w:pPr>
        <w:pStyle w:val="Standard"/>
        <w:rPr>
          <w:rFonts w:hint="eastAsia"/>
        </w:rPr>
      </w:pPr>
      <w:r>
        <w:rPr>
          <w:rFonts w:ascii="Calibri" w:hAnsi="Calibri" w:cs="Calibri"/>
          <w:i/>
          <w:iCs/>
          <w:color w:val="000000"/>
          <w:sz w:val="21"/>
          <w:szCs w:val="21"/>
        </w:rPr>
        <w:t>iii) compatibility and acceptability may not be evidenced sufficiently concerning established adverse health effects',</w:t>
      </w:r>
    </w:p>
    <w:p w14:paraId="689DD456" w14:textId="77777777" w:rsidR="00247DAA" w:rsidRDefault="00247DAA">
      <w:pPr>
        <w:pStyle w:val="Standard"/>
        <w:rPr>
          <w:rFonts w:ascii="Calibri" w:hAnsi="Calibri" w:cs="Calibri"/>
          <w:sz w:val="21"/>
          <w:szCs w:val="21"/>
        </w:rPr>
      </w:pPr>
    </w:p>
    <w:p w14:paraId="09E7E4D3" w14:textId="39675FD8" w:rsidR="00247DAA" w:rsidRPr="00D6743E" w:rsidRDefault="00000000">
      <w:pPr>
        <w:pStyle w:val="Standard"/>
        <w:rPr>
          <w:rFonts w:ascii="Calibri" w:hAnsi="Calibri" w:cs="Calibri" w:hint="eastAsia"/>
          <w:sz w:val="21"/>
          <w:szCs w:val="21"/>
        </w:rPr>
      </w:pPr>
      <w:r>
        <w:rPr>
          <w:rFonts w:ascii="Calibri" w:hAnsi="Calibri" w:cs="Calibri"/>
          <w:b/>
          <w:bCs/>
          <w:sz w:val="21"/>
          <w:szCs w:val="21"/>
        </w:rPr>
        <w:t>Please will you confirm</w:t>
      </w:r>
      <w:r>
        <w:rPr>
          <w:rFonts w:ascii="Calibri" w:hAnsi="Calibri" w:cs="Calibri"/>
          <w:sz w:val="21"/>
          <w:szCs w:val="21"/>
        </w:rPr>
        <w:t xml:space="preserve"> back to me that your authority will register its interest in the outcome of the challenge by emailing </w:t>
      </w:r>
      <w:r>
        <w:rPr>
          <w:rFonts w:ascii="Calibri" w:hAnsi="Calibri" w:cs="Calibri"/>
          <w:b/>
          <w:bCs/>
          <w:sz w:val="21"/>
          <w:szCs w:val="21"/>
        </w:rPr>
        <w:t>Claire Jones</w:t>
      </w:r>
      <w:r>
        <w:rPr>
          <w:rFonts w:ascii="Calibri" w:hAnsi="Calibri" w:cs="Calibri"/>
          <w:sz w:val="21"/>
          <w:szCs w:val="21"/>
        </w:rPr>
        <w:t xml:space="preserve"> </w:t>
      </w:r>
      <w:r w:rsidR="00D6743E">
        <w:rPr>
          <w:rFonts w:ascii="Calibri" w:hAnsi="Calibri" w:cs="Calibri"/>
          <w:sz w:val="21"/>
          <w:szCs w:val="21"/>
        </w:rPr>
        <w:t xml:space="preserve">   </w:t>
      </w:r>
      <w:hyperlink r:id="rId6" w:history="1">
        <w:r w:rsidR="00D6743E" w:rsidRPr="001860A0">
          <w:rPr>
            <w:rStyle w:val="Hyperlink"/>
            <w:rFonts w:ascii="Calibri" w:hAnsi="Calibri" w:cs="Calibri"/>
            <w:sz w:val="21"/>
            <w:szCs w:val="21"/>
          </w:rPr>
          <w:t>Claire.jo</w:t>
        </w:r>
        <w:r w:rsidR="00D6743E" w:rsidRPr="001860A0">
          <w:rPr>
            <w:rStyle w:val="Hyperlink"/>
            <w:rFonts w:ascii="Calibri" w:hAnsi="Calibri" w:cs="Calibri"/>
            <w:sz w:val="21"/>
            <w:szCs w:val="21"/>
          </w:rPr>
          <w:t>n</w:t>
        </w:r>
        <w:r w:rsidR="00D6743E" w:rsidRPr="001860A0">
          <w:rPr>
            <w:rStyle w:val="Hyperlink"/>
            <w:rFonts w:ascii="Calibri" w:hAnsi="Calibri" w:cs="Calibri"/>
            <w:sz w:val="21"/>
            <w:szCs w:val="21"/>
          </w:rPr>
          <w:t>es@governmentlegal.gov.uk</w:t>
        </w:r>
      </w:hyperlink>
      <w:r w:rsidR="00D6743E">
        <w:rPr>
          <w:rFonts w:ascii="Calibri" w:hAnsi="Calibri" w:cs="Calibri"/>
          <w:sz w:val="21"/>
          <w:szCs w:val="21"/>
        </w:rPr>
        <w:t xml:space="preserve">   repr</w:t>
      </w:r>
      <w:r>
        <w:rPr>
          <w:rFonts w:ascii="Calibri" w:hAnsi="Calibri" w:cs="Calibri"/>
          <w:sz w:val="21"/>
          <w:szCs w:val="21"/>
        </w:rPr>
        <w:t xml:space="preserve">esenting solicitor for the Department of Levelling Up, Housing and Communities (DLUHC), quoting </w:t>
      </w:r>
      <w:r>
        <w:rPr>
          <w:rFonts w:ascii="Calibri" w:hAnsi="Calibri" w:cs="Calibri"/>
          <w:color w:val="000000"/>
          <w:sz w:val="21"/>
          <w:szCs w:val="21"/>
        </w:rPr>
        <w:t>case number Z2309835.</w:t>
      </w:r>
    </w:p>
    <w:p w14:paraId="2042369D" w14:textId="77777777" w:rsidR="00247DAA" w:rsidRDefault="00247DAA">
      <w:pPr>
        <w:pStyle w:val="Standard"/>
        <w:rPr>
          <w:rFonts w:ascii="Calibri" w:hAnsi="Calibri" w:cs="Calibri"/>
          <w:sz w:val="21"/>
          <w:szCs w:val="21"/>
        </w:rPr>
      </w:pPr>
    </w:p>
    <w:p w14:paraId="2735F536" w14:textId="77777777" w:rsidR="00247DAA" w:rsidRDefault="00000000">
      <w:pPr>
        <w:pStyle w:val="Standard"/>
        <w:rPr>
          <w:rFonts w:ascii="Calibri" w:hAnsi="Calibri" w:cs="Calibri"/>
          <w:sz w:val="21"/>
          <w:szCs w:val="21"/>
        </w:rPr>
      </w:pPr>
      <w:r>
        <w:rPr>
          <w:rFonts w:ascii="Calibri" w:hAnsi="Calibri" w:cs="Calibri"/>
          <w:sz w:val="21"/>
          <w:szCs w:val="21"/>
        </w:rPr>
        <w:t>Best Regards,</w:t>
      </w:r>
    </w:p>
    <w:p w14:paraId="5C0CD9BA" w14:textId="77777777" w:rsidR="00247DAA" w:rsidRDefault="00247DAA">
      <w:pPr>
        <w:pStyle w:val="Standard"/>
        <w:rPr>
          <w:rFonts w:ascii="Calibri" w:hAnsi="Calibri" w:cs="Calibri"/>
          <w:b/>
          <w:bCs/>
          <w:sz w:val="21"/>
          <w:szCs w:val="21"/>
        </w:rPr>
      </w:pPr>
    </w:p>
    <w:p w14:paraId="7409AEDA" w14:textId="77777777" w:rsidR="00247DAA" w:rsidRDefault="00000000">
      <w:pPr>
        <w:pStyle w:val="Standard"/>
        <w:rPr>
          <w:rFonts w:ascii="Calibri" w:hAnsi="Calibri" w:cs="Calibri"/>
          <w:b/>
          <w:bCs/>
          <w:color w:val="FF0000"/>
          <w:sz w:val="21"/>
          <w:szCs w:val="21"/>
        </w:rPr>
      </w:pPr>
      <w:r>
        <w:rPr>
          <w:rFonts w:ascii="Calibri" w:hAnsi="Calibri" w:cs="Calibri"/>
          <w:b/>
          <w:bCs/>
          <w:color w:val="FF0000"/>
          <w:sz w:val="21"/>
          <w:szCs w:val="21"/>
        </w:rPr>
        <w:t>xxx</w:t>
      </w:r>
    </w:p>
    <w:p w14:paraId="3285CBD2" w14:textId="77777777" w:rsidR="00247DAA" w:rsidRDefault="00247DAA">
      <w:pPr>
        <w:pStyle w:val="Standard"/>
        <w:rPr>
          <w:rFonts w:ascii="Bodoni MT" w:hAnsi="Bodoni MT"/>
        </w:rPr>
      </w:pPr>
    </w:p>
    <w:p w14:paraId="51E8FD0C" w14:textId="77777777" w:rsidR="00247DAA" w:rsidRPr="00D6743E" w:rsidRDefault="00247DAA">
      <w:pPr>
        <w:pStyle w:val="Standard"/>
        <w:rPr>
          <w:rFonts w:asciiTheme="minorHAnsi" w:hAnsiTheme="minorHAnsi" w:cstheme="minorHAnsi"/>
          <w:sz w:val="20"/>
          <w:szCs w:val="20"/>
        </w:rPr>
      </w:pPr>
    </w:p>
    <w:p w14:paraId="72409351" w14:textId="77777777" w:rsidR="00247DAA" w:rsidRPr="00D6743E" w:rsidRDefault="00247DAA">
      <w:pPr>
        <w:pStyle w:val="Standard"/>
        <w:rPr>
          <w:rFonts w:asciiTheme="minorHAnsi" w:hAnsiTheme="minorHAnsi" w:cstheme="minorHAnsi"/>
          <w:sz w:val="20"/>
          <w:szCs w:val="20"/>
        </w:rPr>
      </w:pPr>
    </w:p>
    <w:p w14:paraId="32608216" w14:textId="77777777" w:rsidR="00247DAA" w:rsidRPr="00D6743E" w:rsidRDefault="00247DAA">
      <w:pPr>
        <w:pStyle w:val="Standard"/>
        <w:rPr>
          <w:rFonts w:asciiTheme="minorHAnsi" w:hAnsiTheme="minorHAnsi" w:cstheme="minorHAnsi"/>
          <w:sz w:val="20"/>
          <w:szCs w:val="20"/>
        </w:rPr>
      </w:pPr>
    </w:p>
    <w:p w14:paraId="3B6B62FB"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b/>
          <w:bCs/>
          <w:sz w:val="20"/>
          <w:szCs w:val="20"/>
        </w:rPr>
        <w:t>The full set of remedies sought in Section 5 of the submission expressed in the positive are summarised below.</w:t>
      </w:r>
    </w:p>
    <w:p w14:paraId="21C0FA9F" w14:textId="77777777" w:rsidR="00247DAA" w:rsidRPr="00D6743E" w:rsidRDefault="00247DAA">
      <w:pPr>
        <w:pStyle w:val="Standard"/>
        <w:rPr>
          <w:rFonts w:asciiTheme="minorHAnsi" w:hAnsiTheme="minorHAnsi" w:cstheme="minorHAnsi"/>
          <w:sz w:val="20"/>
          <w:szCs w:val="20"/>
        </w:rPr>
      </w:pPr>
    </w:p>
    <w:p w14:paraId="035B6B86" w14:textId="77777777" w:rsidR="00247DAA" w:rsidRPr="00D6743E" w:rsidRDefault="00247DAA">
      <w:pPr>
        <w:pStyle w:val="Standard"/>
        <w:rPr>
          <w:rFonts w:asciiTheme="minorHAnsi" w:hAnsiTheme="minorHAnsi" w:cstheme="minorHAnsi"/>
          <w:sz w:val="20"/>
          <w:szCs w:val="20"/>
        </w:rPr>
      </w:pPr>
    </w:p>
    <w:p w14:paraId="6538AB46"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1 Alter the NPPF to affirm the competent authority status of Local Authorities</w:t>
      </w:r>
    </w:p>
    <w:p w14:paraId="4A0F9417" w14:textId="77777777" w:rsidR="00247DAA" w:rsidRPr="00D6743E" w:rsidRDefault="00247DAA">
      <w:pPr>
        <w:pStyle w:val="Standard"/>
        <w:rPr>
          <w:rFonts w:asciiTheme="minorHAnsi" w:hAnsiTheme="minorHAnsi" w:cstheme="minorHAnsi"/>
          <w:sz w:val="20"/>
          <w:szCs w:val="20"/>
        </w:rPr>
      </w:pPr>
    </w:p>
    <w:p w14:paraId="52B11344" w14:textId="77777777" w:rsidR="00247DAA" w:rsidRPr="00D6743E" w:rsidRDefault="00247DAA">
      <w:pPr>
        <w:pStyle w:val="Standard"/>
        <w:rPr>
          <w:rFonts w:asciiTheme="minorHAnsi" w:hAnsiTheme="minorHAnsi" w:cstheme="minorHAnsi"/>
          <w:sz w:val="20"/>
          <w:szCs w:val="20"/>
        </w:rPr>
      </w:pPr>
    </w:p>
    <w:p w14:paraId="6E3CFA88"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2 Resource LPAs/LAs to perform as regulators of RFR </w:t>
      </w:r>
      <w:proofErr w:type="gramStart"/>
      <w:r w:rsidRPr="00D6743E">
        <w:rPr>
          <w:rFonts w:asciiTheme="minorHAnsi" w:hAnsiTheme="minorHAnsi" w:cstheme="minorHAnsi"/>
          <w:sz w:val="20"/>
          <w:szCs w:val="20"/>
        </w:rPr>
        <w:t>exposure</w:t>
      </w:r>
      <w:proofErr w:type="gramEnd"/>
    </w:p>
    <w:p w14:paraId="346423A6" w14:textId="77777777" w:rsidR="00247DAA" w:rsidRPr="00D6743E" w:rsidRDefault="00247DAA">
      <w:pPr>
        <w:pStyle w:val="Standard"/>
        <w:rPr>
          <w:rFonts w:asciiTheme="minorHAnsi" w:hAnsiTheme="minorHAnsi" w:cstheme="minorHAnsi"/>
          <w:sz w:val="20"/>
          <w:szCs w:val="20"/>
        </w:rPr>
      </w:pPr>
    </w:p>
    <w:p w14:paraId="00B8750B" w14:textId="77777777" w:rsidR="00247DAA" w:rsidRPr="00D6743E" w:rsidRDefault="00247DAA">
      <w:pPr>
        <w:pStyle w:val="Standard"/>
        <w:rPr>
          <w:rFonts w:asciiTheme="minorHAnsi" w:hAnsiTheme="minorHAnsi" w:cstheme="minorHAnsi"/>
          <w:sz w:val="20"/>
          <w:szCs w:val="20"/>
        </w:rPr>
      </w:pPr>
    </w:p>
    <w:p w14:paraId="3F6EE363"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3 Acknowledge the primacy of the public exposure procedural standard within the </w:t>
      </w:r>
      <w:proofErr w:type="gramStart"/>
      <w:r w:rsidRPr="00D6743E">
        <w:rPr>
          <w:rFonts w:asciiTheme="minorHAnsi" w:hAnsiTheme="minorHAnsi" w:cstheme="minorHAnsi"/>
          <w:sz w:val="20"/>
          <w:szCs w:val="20"/>
        </w:rPr>
        <w:t>EECC</w:t>
      </w:r>
      <w:proofErr w:type="gramEnd"/>
    </w:p>
    <w:p w14:paraId="1C16363E" w14:textId="77777777" w:rsidR="00247DAA" w:rsidRPr="00D6743E" w:rsidRDefault="00247DAA">
      <w:pPr>
        <w:pStyle w:val="Standard"/>
        <w:rPr>
          <w:rFonts w:asciiTheme="minorHAnsi" w:hAnsiTheme="minorHAnsi" w:cstheme="minorHAnsi"/>
          <w:sz w:val="20"/>
          <w:szCs w:val="20"/>
        </w:rPr>
      </w:pPr>
    </w:p>
    <w:p w14:paraId="1B2BAF55" w14:textId="77777777" w:rsidR="00247DAA" w:rsidRPr="00D6743E" w:rsidRDefault="00247DAA">
      <w:pPr>
        <w:pStyle w:val="Standard"/>
        <w:rPr>
          <w:rFonts w:asciiTheme="minorHAnsi" w:hAnsiTheme="minorHAnsi" w:cstheme="minorHAnsi"/>
          <w:sz w:val="20"/>
          <w:szCs w:val="20"/>
        </w:rPr>
      </w:pPr>
    </w:p>
    <w:p w14:paraId="75F21C4E"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4 Alter all policies and practices to reflect that material planning considerations arise from EECC public health/environmental </w:t>
      </w:r>
      <w:proofErr w:type="gramStart"/>
      <w:r w:rsidRPr="00D6743E">
        <w:rPr>
          <w:rFonts w:asciiTheme="minorHAnsi" w:hAnsiTheme="minorHAnsi" w:cstheme="minorHAnsi"/>
          <w:sz w:val="20"/>
          <w:szCs w:val="20"/>
        </w:rPr>
        <w:t>provisions</w:t>
      </w:r>
      <w:proofErr w:type="gramEnd"/>
    </w:p>
    <w:p w14:paraId="6434C0AA" w14:textId="77777777" w:rsidR="00247DAA" w:rsidRPr="00D6743E" w:rsidRDefault="00247DAA">
      <w:pPr>
        <w:pStyle w:val="Standard"/>
        <w:rPr>
          <w:rFonts w:asciiTheme="minorHAnsi" w:hAnsiTheme="minorHAnsi" w:cstheme="minorHAnsi"/>
          <w:sz w:val="20"/>
          <w:szCs w:val="20"/>
        </w:rPr>
      </w:pPr>
    </w:p>
    <w:p w14:paraId="56D01BFD" w14:textId="77777777" w:rsidR="00247DAA" w:rsidRPr="00D6743E" w:rsidRDefault="00247DAA">
      <w:pPr>
        <w:pStyle w:val="Standard"/>
        <w:rPr>
          <w:rFonts w:asciiTheme="minorHAnsi" w:hAnsiTheme="minorHAnsi" w:cstheme="minorHAnsi"/>
          <w:sz w:val="20"/>
          <w:szCs w:val="20"/>
        </w:rPr>
      </w:pPr>
    </w:p>
    <w:p w14:paraId="08CE97C6"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5 Determination of whether the EECC public health provisions is ‘where’ Matt Warman considered LPAs/LAs operated as EECC competent </w:t>
      </w:r>
      <w:proofErr w:type="gramStart"/>
      <w:r w:rsidRPr="00D6743E">
        <w:rPr>
          <w:rFonts w:asciiTheme="minorHAnsi" w:hAnsiTheme="minorHAnsi" w:cstheme="minorHAnsi"/>
          <w:sz w:val="20"/>
          <w:szCs w:val="20"/>
        </w:rPr>
        <w:t>authorities</w:t>
      </w:r>
      <w:proofErr w:type="gramEnd"/>
    </w:p>
    <w:p w14:paraId="78A138C1" w14:textId="77777777" w:rsidR="00247DAA" w:rsidRPr="00D6743E" w:rsidRDefault="00247DAA">
      <w:pPr>
        <w:pStyle w:val="Standard"/>
        <w:rPr>
          <w:rFonts w:asciiTheme="minorHAnsi" w:hAnsiTheme="minorHAnsi" w:cstheme="minorHAnsi"/>
          <w:sz w:val="20"/>
          <w:szCs w:val="20"/>
        </w:rPr>
      </w:pPr>
    </w:p>
    <w:p w14:paraId="5C0B3C4C" w14:textId="77777777" w:rsidR="00247DAA" w:rsidRPr="00D6743E" w:rsidRDefault="00247DAA">
      <w:pPr>
        <w:pStyle w:val="Standard"/>
        <w:rPr>
          <w:rFonts w:asciiTheme="minorHAnsi" w:hAnsiTheme="minorHAnsi" w:cstheme="minorHAnsi"/>
          <w:sz w:val="20"/>
          <w:szCs w:val="20"/>
        </w:rPr>
      </w:pPr>
    </w:p>
    <w:p w14:paraId="361516F0"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6 Introduce Telecom specific Environmental Impact Assessments</w:t>
      </w:r>
    </w:p>
    <w:p w14:paraId="621DBB2B" w14:textId="77777777" w:rsidR="00247DAA" w:rsidRPr="00D6743E" w:rsidRDefault="00247DAA">
      <w:pPr>
        <w:pStyle w:val="Standard"/>
        <w:rPr>
          <w:rFonts w:asciiTheme="minorHAnsi" w:hAnsiTheme="minorHAnsi" w:cstheme="minorHAnsi"/>
          <w:sz w:val="20"/>
          <w:szCs w:val="20"/>
        </w:rPr>
      </w:pPr>
    </w:p>
    <w:p w14:paraId="29A2537D" w14:textId="77777777" w:rsidR="00247DAA" w:rsidRPr="00D6743E" w:rsidRDefault="00247DAA">
      <w:pPr>
        <w:pStyle w:val="Standard"/>
        <w:rPr>
          <w:rFonts w:asciiTheme="minorHAnsi" w:hAnsiTheme="minorHAnsi" w:cstheme="minorHAnsi"/>
          <w:sz w:val="20"/>
          <w:szCs w:val="20"/>
        </w:rPr>
      </w:pPr>
    </w:p>
    <w:p w14:paraId="5369A758"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7 Acknowledge that LPAs/LAs EECC competent authority status is made direct by EECC Recital 22</w:t>
      </w:r>
    </w:p>
    <w:p w14:paraId="1745B902" w14:textId="77777777" w:rsidR="00247DAA" w:rsidRPr="00D6743E" w:rsidRDefault="00247DAA">
      <w:pPr>
        <w:pStyle w:val="Standard"/>
        <w:rPr>
          <w:rFonts w:asciiTheme="minorHAnsi" w:hAnsiTheme="minorHAnsi" w:cstheme="minorHAnsi"/>
          <w:sz w:val="20"/>
          <w:szCs w:val="20"/>
        </w:rPr>
      </w:pPr>
    </w:p>
    <w:p w14:paraId="68D733A0" w14:textId="77777777" w:rsidR="00247DAA" w:rsidRPr="00D6743E" w:rsidRDefault="00247DAA">
      <w:pPr>
        <w:pStyle w:val="Standard"/>
        <w:rPr>
          <w:rFonts w:asciiTheme="minorHAnsi" w:hAnsiTheme="minorHAnsi" w:cstheme="minorHAnsi"/>
          <w:sz w:val="20"/>
          <w:szCs w:val="20"/>
        </w:rPr>
      </w:pPr>
    </w:p>
    <w:p w14:paraId="22E48048"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8 Acknowledge that the EECC is the only legal framework for ‘</w:t>
      </w:r>
      <w:r w:rsidRPr="00D6743E">
        <w:rPr>
          <w:rFonts w:asciiTheme="minorHAnsi" w:hAnsiTheme="minorHAnsi" w:cstheme="minorHAnsi"/>
          <w:i/>
          <w:iCs/>
          <w:sz w:val="20"/>
          <w:szCs w:val="20"/>
        </w:rPr>
        <w:t>in situ’</w:t>
      </w:r>
      <w:r w:rsidRPr="00D6743E">
        <w:rPr>
          <w:rFonts w:asciiTheme="minorHAnsi" w:hAnsiTheme="minorHAnsi" w:cstheme="minorHAnsi"/>
          <w:sz w:val="20"/>
          <w:szCs w:val="20"/>
        </w:rPr>
        <w:t xml:space="preserve"> decision making re RFR public and environmental </w:t>
      </w:r>
      <w:proofErr w:type="gramStart"/>
      <w:r w:rsidRPr="00D6743E">
        <w:rPr>
          <w:rFonts w:asciiTheme="minorHAnsi" w:hAnsiTheme="minorHAnsi" w:cstheme="minorHAnsi"/>
          <w:sz w:val="20"/>
          <w:szCs w:val="20"/>
        </w:rPr>
        <w:t>exposure</w:t>
      </w:r>
      <w:proofErr w:type="gramEnd"/>
    </w:p>
    <w:p w14:paraId="331A0700" w14:textId="77777777" w:rsidR="00247DAA" w:rsidRPr="00D6743E" w:rsidRDefault="00247DAA">
      <w:pPr>
        <w:pStyle w:val="Standard"/>
        <w:rPr>
          <w:rFonts w:asciiTheme="minorHAnsi" w:hAnsiTheme="minorHAnsi" w:cstheme="minorHAnsi"/>
          <w:sz w:val="20"/>
          <w:szCs w:val="20"/>
        </w:rPr>
      </w:pPr>
    </w:p>
    <w:p w14:paraId="088B515D" w14:textId="77777777" w:rsidR="00247DAA" w:rsidRPr="00D6743E" w:rsidRDefault="00247DAA">
      <w:pPr>
        <w:pStyle w:val="Standard"/>
        <w:rPr>
          <w:rFonts w:asciiTheme="minorHAnsi" w:hAnsiTheme="minorHAnsi" w:cstheme="minorHAnsi"/>
          <w:sz w:val="20"/>
          <w:szCs w:val="20"/>
        </w:rPr>
      </w:pPr>
    </w:p>
    <w:p w14:paraId="63BCFF66"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9 Acknowledge that LPAs/LAs multi-factorial decision-making demand cognisant, attuned, and responsive decision-making to balance policy, procedural requirements and compliance with legal </w:t>
      </w:r>
      <w:proofErr w:type="gramStart"/>
      <w:r w:rsidRPr="00D6743E">
        <w:rPr>
          <w:rFonts w:asciiTheme="minorHAnsi" w:hAnsiTheme="minorHAnsi" w:cstheme="minorHAnsi"/>
          <w:sz w:val="20"/>
          <w:szCs w:val="20"/>
        </w:rPr>
        <w:t>obligations</w:t>
      </w:r>
      <w:proofErr w:type="gramEnd"/>
    </w:p>
    <w:p w14:paraId="649EE91C" w14:textId="77777777" w:rsidR="00247DAA" w:rsidRPr="00D6743E" w:rsidRDefault="00247DAA">
      <w:pPr>
        <w:pStyle w:val="Standard"/>
        <w:rPr>
          <w:rFonts w:asciiTheme="minorHAnsi" w:hAnsiTheme="minorHAnsi" w:cstheme="minorHAnsi"/>
          <w:sz w:val="20"/>
          <w:szCs w:val="20"/>
        </w:rPr>
      </w:pPr>
    </w:p>
    <w:p w14:paraId="3F61B715" w14:textId="77777777" w:rsidR="00247DAA" w:rsidRPr="00D6743E" w:rsidRDefault="00247DAA">
      <w:pPr>
        <w:pStyle w:val="Standard"/>
        <w:rPr>
          <w:rFonts w:asciiTheme="minorHAnsi" w:hAnsiTheme="minorHAnsi" w:cstheme="minorHAnsi"/>
          <w:sz w:val="20"/>
          <w:szCs w:val="20"/>
        </w:rPr>
      </w:pPr>
    </w:p>
    <w:p w14:paraId="22B9674A"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10 Clarify that public/citizen direct rights arise when LPA/LA make decisions on mast/antennas siting and small cell </w:t>
      </w:r>
      <w:proofErr w:type="gramStart"/>
      <w:r w:rsidRPr="00D6743E">
        <w:rPr>
          <w:rFonts w:asciiTheme="minorHAnsi" w:hAnsiTheme="minorHAnsi" w:cstheme="minorHAnsi"/>
          <w:sz w:val="20"/>
          <w:szCs w:val="20"/>
        </w:rPr>
        <w:t>deployment</w:t>
      </w:r>
      <w:proofErr w:type="gramEnd"/>
    </w:p>
    <w:p w14:paraId="3DBC4060" w14:textId="77777777" w:rsidR="00247DAA" w:rsidRPr="00D6743E" w:rsidRDefault="00247DAA">
      <w:pPr>
        <w:pStyle w:val="Standard"/>
        <w:rPr>
          <w:rFonts w:asciiTheme="minorHAnsi" w:hAnsiTheme="minorHAnsi" w:cstheme="minorHAnsi"/>
          <w:sz w:val="20"/>
          <w:szCs w:val="20"/>
        </w:rPr>
      </w:pPr>
    </w:p>
    <w:p w14:paraId="79FE6914" w14:textId="77777777" w:rsidR="00247DAA" w:rsidRPr="00D6743E" w:rsidRDefault="00247DAA">
      <w:pPr>
        <w:pStyle w:val="Standard"/>
        <w:rPr>
          <w:rFonts w:asciiTheme="minorHAnsi" w:hAnsiTheme="minorHAnsi" w:cstheme="minorHAnsi"/>
          <w:sz w:val="20"/>
          <w:szCs w:val="20"/>
        </w:rPr>
      </w:pPr>
    </w:p>
    <w:p w14:paraId="30122C09"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11 Set objectives and criteria (EECC Recitals 21 and 121) for the protection of public health/environmental effects</w:t>
      </w:r>
    </w:p>
    <w:p w14:paraId="44303434" w14:textId="77777777" w:rsidR="00247DAA" w:rsidRPr="00D6743E" w:rsidRDefault="00247DAA">
      <w:pPr>
        <w:pStyle w:val="Standard"/>
        <w:rPr>
          <w:rFonts w:asciiTheme="minorHAnsi" w:hAnsiTheme="minorHAnsi" w:cstheme="minorHAnsi"/>
          <w:sz w:val="20"/>
          <w:szCs w:val="20"/>
        </w:rPr>
      </w:pPr>
    </w:p>
    <w:p w14:paraId="084F8E0E" w14:textId="77777777" w:rsidR="00247DAA" w:rsidRPr="00D6743E" w:rsidRDefault="00247DAA">
      <w:pPr>
        <w:pStyle w:val="Standard"/>
        <w:rPr>
          <w:rFonts w:asciiTheme="minorHAnsi" w:hAnsiTheme="minorHAnsi" w:cstheme="minorHAnsi"/>
          <w:sz w:val="20"/>
          <w:szCs w:val="20"/>
        </w:rPr>
      </w:pPr>
    </w:p>
    <w:p w14:paraId="6F09566C"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12 Clarify significance of answers regarding the LPA/LA competent authority from Matt Warman to </w:t>
      </w:r>
      <w:proofErr w:type="spellStart"/>
      <w:r w:rsidRPr="00D6743E">
        <w:rPr>
          <w:rFonts w:asciiTheme="minorHAnsi" w:hAnsiTheme="minorHAnsi" w:cstheme="minorHAnsi"/>
          <w:sz w:val="20"/>
          <w:szCs w:val="20"/>
        </w:rPr>
        <w:t>Wera</w:t>
      </w:r>
      <w:proofErr w:type="spellEnd"/>
      <w:r w:rsidRPr="00D6743E">
        <w:rPr>
          <w:rFonts w:asciiTheme="minorHAnsi" w:hAnsiTheme="minorHAnsi" w:cstheme="minorHAnsi"/>
          <w:sz w:val="20"/>
          <w:szCs w:val="20"/>
        </w:rPr>
        <w:t xml:space="preserve"> Hobhouse (DDCMS) and lack of response by the DLUHC to Solihull MBC</w:t>
      </w:r>
    </w:p>
    <w:p w14:paraId="544554EF" w14:textId="77777777" w:rsidR="00247DAA" w:rsidRPr="00D6743E" w:rsidRDefault="00247DAA">
      <w:pPr>
        <w:pStyle w:val="Standard"/>
        <w:rPr>
          <w:rFonts w:asciiTheme="minorHAnsi" w:hAnsiTheme="minorHAnsi" w:cstheme="minorHAnsi"/>
          <w:sz w:val="20"/>
          <w:szCs w:val="20"/>
        </w:rPr>
      </w:pPr>
    </w:p>
    <w:p w14:paraId="02D83DA7" w14:textId="77777777" w:rsidR="00247DAA" w:rsidRPr="00D6743E" w:rsidRDefault="00247DAA">
      <w:pPr>
        <w:pStyle w:val="Standard"/>
        <w:rPr>
          <w:rFonts w:asciiTheme="minorHAnsi" w:hAnsiTheme="minorHAnsi" w:cstheme="minorHAnsi"/>
          <w:sz w:val="20"/>
          <w:szCs w:val="20"/>
        </w:rPr>
      </w:pPr>
    </w:p>
    <w:p w14:paraId="3CC1E791"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13 Confirm the “weighting” of evidence as part of the EECC procedural standard, presented by DLA PIPER in August 2019</w:t>
      </w:r>
    </w:p>
    <w:p w14:paraId="75DD6C7B" w14:textId="77777777" w:rsidR="00247DAA" w:rsidRPr="00D6743E" w:rsidRDefault="00247DAA">
      <w:pPr>
        <w:pStyle w:val="Standard"/>
        <w:rPr>
          <w:rFonts w:asciiTheme="minorHAnsi" w:hAnsiTheme="minorHAnsi" w:cstheme="minorHAnsi"/>
          <w:sz w:val="20"/>
          <w:szCs w:val="20"/>
        </w:rPr>
      </w:pPr>
    </w:p>
    <w:p w14:paraId="4A97B47A" w14:textId="77777777" w:rsidR="00247DAA" w:rsidRPr="00D6743E" w:rsidRDefault="00247DAA">
      <w:pPr>
        <w:pStyle w:val="Standard"/>
        <w:rPr>
          <w:rFonts w:asciiTheme="minorHAnsi" w:hAnsiTheme="minorHAnsi" w:cstheme="minorHAnsi"/>
          <w:sz w:val="20"/>
          <w:szCs w:val="20"/>
        </w:rPr>
      </w:pPr>
    </w:p>
    <w:p w14:paraId="38F387A9"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14 Confirm that the “efficient management of the spectrum” requires LPA/LA EECC competent authority status to be applied </w:t>
      </w:r>
      <w:proofErr w:type="gramStart"/>
      <w:r w:rsidRPr="00D6743E">
        <w:rPr>
          <w:rFonts w:asciiTheme="minorHAnsi" w:hAnsiTheme="minorHAnsi" w:cstheme="minorHAnsi"/>
          <w:sz w:val="20"/>
          <w:szCs w:val="20"/>
        </w:rPr>
        <w:t>effectively</w:t>
      </w:r>
      <w:proofErr w:type="gramEnd"/>
    </w:p>
    <w:p w14:paraId="71A821FA" w14:textId="77777777" w:rsidR="00247DAA" w:rsidRPr="00D6743E" w:rsidRDefault="00247DAA">
      <w:pPr>
        <w:pStyle w:val="Standard"/>
        <w:rPr>
          <w:rFonts w:asciiTheme="minorHAnsi" w:hAnsiTheme="minorHAnsi" w:cstheme="minorHAnsi"/>
          <w:sz w:val="20"/>
          <w:szCs w:val="20"/>
        </w:rPr>
      </w:pPr>
    </w:p>
    <w:p w14:paraId="5A2C6DE1" w14:textId="77777777" w:rsidR="00247DAA" w:rsidRPr="00D6743E" w:rsidRDefault="00247DAA">
      <w:pPr>
        <w:pStyle w:val="Standard"/>
        <w:rPr>
          <w:rFonts w:asciiTheme="minorHAnsi" w:hAnsiTheme="minorHAnsi" w:cstheme="minorHAnsi"/>
          <w:sz w:val="20"/>
          <w:szCs w:val="20"/>
        </w:rPr>
      </w:pPr>
    </w:p>
    <w:p w14:paraId="75802687"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15 Confirm the Wells v Secretary of State for Transport, Local Government and the Regions (2004) is a comparable </w:t>
      </w:r>
      <w:r w:rsidRPr="00D6743E">
        <w:rPr>
          <w:rFonts w:asciiTheme="minorHAnsi" w:hAnsiTheme="minorHAnsi" w:cstheme="minorHAnsi"/>
          <w:i/>
          <w:iCs/>
          <w:sz w:val="20"/>
          <w:szCs w:val="20"/>
        </w:rPr>
        <w:t>'of a kind</w:t>
      </w:r>
      <w:r w:rsidRPr="00D6743E">
        <w:rPr>
          <w:rFonts w:asciiTheme="minorHAnsi" w:hAnsiTheme="minorHAnsi" w:cstheme="minorHAnsi"/>
          <w:sz w:val="20"/>
          <w:szCs w:val="20"/>
        </w:rPr>
        <w:t xml:space="preserve">' case to the case made in this Schedule 8, paragraph 35(9) </w:t>
      </w:r>
      <w:proofErr w:type="gramStart"/>
      <w:r w:rsidRPr="00D6743E">
        <w:rPr>
          <w:rFonts w:asciiTheme="minorHAnsi" w:hAnsiTheme="minorHAnsi" w:cstheme="minorHAnsi"/>
          <w:sz w:val="20"/>
          <w:szCs w:val="20"/>
        </w:rPr>
        <w:t>submission</w:t>
      </w:r>
      <w:proofErr w:type="gramEnd"/>
    </w:p>
    <w:p w14:paraId="5053086C" w14:textId="77777777" w:rsidR="00247DAA" w:rsidRPr="00D6743E" w:rsidRDefault="00247DAA">
      <w:pPr>
        <w:pStyle w:val="Standard"/>
        <w:rPr>
          <w:rFonts w:asciiTheme="minorHAnsi" w:hAnsiTheme="minorHAnsi" w:cstheme="minorHAnsi"/>
          <w:sz w:val="20"/>
          <w:szCs w:val="20"/>
        </w:rPr>
      </w:pPr>
    </w:p>
    <w:p w14:paraId="1C76E8FC" w14:textId="77777777" w:rsidR="00247DAA" w:rsidRPr="00D6743E" w:rsidRDefault="00247DAA">
      <w:pPr>
        <w:pStyle w:val="Standard"/>
        <w:rPr>
          <w:rFonts w:asciiTheme="minorHAnsi" w:hAnsiTheme="minorHAnsi" w:cstheme="minorHAnsi"/>
          <w:sz w:val="20"/>
          <w:szCs w:val="20"/>
        </w:rPr>
      </w:pPr>
    </w:p>
    <w:p w14:paraId="18D4C58B"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16 Confirm that the case is significant regarding the incomplete transposition of the </w:t>
      </w:r>
      <w:proofErr w:type="gramStart"/>
      <w:r w:rsidRPr="00D6743E">
        <w:rPr>
          <w:rFonts w:asciiTheme="minorHAnsi" w:hAnsiTheme="minorHAnsi" w:cstheme="minorHAnsi"/>
          <w:sz w:val="20"/>
          <w:szCs w:val="20"/>
        </w:rPr>
        <w:t>EECC</w:t>
      </w:r>
      <w:proofErr w:type="gramEnd"/>
    </w:p>
    <w:p w14:paraId="35AB2F9A" w14:textId="77777777" w:rsidR="00247DAA" w:rsidRPr="00D6743E" w:rsidRDefault="00247DAA">
      <w:pPr>
        <w:pStyle w:val="Standard"/>
        <w:rPr>
          <w:rFonts w:asciiTheme="minorHAnsi" w:hAnsiTheme="minorHAnsi" w:cstheme="minorHAnsi"/>
          <w:sz w:val="20"/>
          <w:szCs w:val="20"/>
        </w:rPr>
      </w:pPr>
    </w:p>
    <w:p w14:paraId="034DF314" w14:textId="77777777" w:rsidR="00247DAA" w:rsidRPr="00D6743E" w:rsidRDefault="00247DAA">
      <w:pPr>
        <w:pStyle w:val="Standard"/>
        <w:rPr>
          <w:rFonts w:asciiTheme="minorHAnsi" w:hAnsiTheme="minorHAnsi" w:cstheme="minorHAnsi"/>
          <w:sz w:val="20"/>
          <w:szCs w:val="20"/>
        </w:rPr>
      </w:pPr>
    </w:p>
    <w:p w14:paraId="6072E85B"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17 Protect citizen rights via a complete transposition of EECC in line with transposition </w:t>
      </w:r>
      <w:proofErr w:type="gramStart"/>
      <w:r w:rsidRPr="00D6743E">
        <w:rPr>
          <w:rFonts w:asciiTheme="minorHAnsi" w:hAnsiTheme="minorHAnsi" w:cstheme="minorHAnsi"/>
          <w:sz w:val="20"/>
          <w:szCs w:val="20"/>
        </w:rPr>
        <w:t>guidance</w:t>
      </w:r>
      <w:proofErr w:type="gramEnd"/>
    </w:p>
    <w:p w14:paraId="3348DDB4" w14:textId="77777777" w:rsidR="00247DAA" w:rsidRPr="00D6743E" w:rsidRDefault="00247DAA">
      <w:pPr>
        <w:pStyle w:val="Standard"/>
        <w:rPr>
          <w:rFonts w:asciiTheme="minorHAnsi" w:hAnsiTheme="minorHAnsi" w:cstheme="minorHAnsi"/>
          <w:sz w:val="20"/>
          <w:szCs w:val="20"/>
        </w:rPr>
      </w:pPr>
    </w:p>
    <w:p w14:paraId="0D6E096D" w14:textId="77777777" w:rsidR="00247DAA" w:rsidRPr="00D6743E" w:rsidRDefault="00247DAA">
      <w:pPr>
        <w:pStyle w:val="Standard"/>
        <w:rPr>
          <w:rFonts w:asciiTheme="minorHAnsi" w:hAnsiTheme="minorHAnsi" w:cstheme="minorHAnsi"/>
          <w:sz w:val="20"/>
          <w:szCs w:val="20"/>
        </w:rPr>
      </w:pPr>
    </w:p>
    <w:p w14:paraId="516C5591"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18 Resource LPAs/LAs to fulfil the EECC ‘public health imperative’ and distinguish between 'inevitable nuisance' and 'avoidable </w:t>
      </w:r>
      <w:proofErr w:type="gramStart"/>
      <w:r w:rsidRPr="00D6743E">
        <w:rPr>
          <w:rFonts w:asciiTheme="minorHAnsi" w:hAnsiTheme="minorHAnsi" w:cstheme="minorHAnsi"/>
          <w:sz w:val="20"/>
          <w:szCs w:val="20"/>
        </w:rPr>
        <w:t>nuisance'</w:t>
      </w:r>
      <w:proofErr w:type="gramEnd"/>
    </w:p>
    <w:p w14:paraId="441B73A4" w14:textId="77777777" w:rsidR="00247DAA" w:rsidRPr="00D6743E" w:rsidRDefault="00247DAA">
      <w:pPr>
        <w:pStyle w:val="Standard"/>
        <w:rPr>
          <w:rFonts w:asciiTheme="minorHAnsi" w:hAnsiTheme="minorHAnsi" w:cstheme="minorHAnsi"/>
          <w:sz w:val="20"/>
          <w:szCs w:val="20"/>
        </w:rPr>
      </w:pPr>
    </w:p>
    <w:p w14:paraId="6C303DDB" w14:textId="77777777" w:rsidR="00247DAA" w:rsidRPr="00D6743E" w:rsidRDefault="00247DAA">
      <w:pPr>
        <w:pStyle w:val="Standard"/>
        <w:rPr>
          <w:rFonts w:asciiTheme="minorHAnsi" w:hAnsiTheme="minorHAnsi" w:cstheme="minorHAnsi"/>
          <w:sz w:val="20"/>
          <w:szCs w:val="20"/>
        </w:rPr>
      </w:pPr>
    </w:p>
    <w:p w14:paraId="11C1EE40"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19 Provide clarity on the government's on-going responsibilities when it delegates public health/environmental regulatory functions to LPAs/LAs</w:t>
      </w:r>
    </w:p>
    <w:p w14:paraId="57DDD21C" w14:textId="77777777" w:rsidR="00247DAA" w:rsidRPr="00D6743E" w:rsidRDefault="00247DAA">
      <w:pPr>
        <w:pStyle w:val="Standard"/>
        <w:rPr>
          <w:rFonts w:asciiTheme="minorHAnsi" w:hAnsiTheme="minorHAnsi" w:cstheme="minorHAnsi"/>
          <w:sz w:val="20"/>
          <w:szCs w:val="20"/>
        </w:rPr>
      </w:pPr>
    </w:p>
    <w:p w14:paraId="73D2533C" w14:textId="77777777" w:rsidR="00247DAA" w:rsidRPr="00D6743E" w:rsidRDefault="00247DAA">
      <w:pPr>
        <w:pStyle w:val="Standard"/>
        <w:rPr>
          <w:rFonts w:asciiTheme="minorHAnsi" w:hAnsiTheme="minorHAnsi" w:cstheme="minorHAnsi"/>
          <w:sz w:val="20"/>
          <w:szCs w:val="20"/>
        </w:rPr>
      </w:pPr>
    </w:p>
    <w:p w14:paraId="66D0278B"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20 Require LPAs/LAs to perform Telecommunication specific EIAs to fulfil EECC Recital 106 re mast </w:t>
      </w:r>
      <w:proofErr w:type="gramStart"/>
      <w:r w:rsidRPr="00D6743E">
        <w:rPr>
          <w:rFonts w:asciiTheme="minorHAnsi" w:hAnsiTheme="minorHAnsi" w:cstheme="minorHAnsi"/>
          <w:sz w:val="20"/>
          <w:szCs w:val="20"/>
        </w:rPr>
        <w:t>siting</w:t>
      </w:r>
      <w:proofErr w:type="gramEnd"/>
    </w:p>
    <w:p w14:paraId="5A89FE59" w14:textId="77777777" w:rsidR="00247DAA" w:rsidRPr="00D6743E" w:rsidRDefault="00247DAA">
      <w:pPr>
        <w:pStyle w:val="Standard"/>
        <w:rPr>
          <w:rFonts w:asciiTheme="minorHAnsi" w:hAnsiTheme="minorHAnsi" w:cstheme="minorHAnsi"/>
          <w:sz w:val="20"/>
          <w:szCs w:val="20"/>
        </w:rPr>
      </w:pPr>
    </w:p>
    <w:p w14:paraId="7AEF8A06" w14:textId="77777777" w:rsidR="00247DAA" w:rsidRPr="00D6743E" w:rsidRDefault="00247DAA">
      <w:pPr>
        <w:pStyle w:val="Standard"/>
        <w:rPr>
          <w:rFonts w:asciiTheme="minorHAnsi" w:hAnsiTheme="minorHAnsi" w:cstheme="minorHAnsi"/>
          <w:sz w:val="20"/>
          <w:szCs w:val="20"/>
        </w:rPr>
      </w:pPr>
    </w:p>
    <w:p w14:paraId="528F0562" w14:textId="77777777" w:rsidR="00247DAA" w:rsidRPr="00D6743E" w:rsidRDefault="00000000">
      <w:pPr>
        <w:pStyle w:val="Standard"/>
        <w:rPr>
          <w:rFonts w:asciiTheme="minorHAnsi" w:hAnsiTheme="minorHAnsi" w:cstheme="minorHAnsi"/>
          <w:sz w:val="20"/>
          <w:szCs w:val="20"/>
        </w:rPr>
      </w:pPr>
      <w:r w:rsidRPr="00D6743E">
        <w:rPr>
          <w:rFonts w:asciiTheme="minorHAnsi" w:hAnsiTheme="minorHAnsi" w:cstheme="minorHAnsi"/>
          <w:sz w:val="20"/>
          <w:szCs w:val="20"/>
        </w:rPr>
        <w:t xml:space="preserve">21 Require LPAs/LAs to perform Telecommunication specific EIAs to fulfil EECC Recital 105 re: small cell </w:t>
      </w:r>
      <w:proofErr w:type="gramStart"/>
      <w:r w:rsidRPr="00D6743E">
        <w:rPr>
          <w:rFonts w:asciiTheme="minorHAnsi" w:hAnsiTheme="minorHAnsi" w:cstheme="minorHAnsi"/>
          <w:sz w:val="20"/>
          <w:szCs w:val="20"/>
        </w:rPr>
        <w:t>deployment</w:t>
      </w:r>
      <w:proofErr w:type="gramEnd"/>
    </w:p>
    <w:sectPr w:rsidR="00247DAA" w:rsidRPr="00D6743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AAEF" w14:textId="77777777" w:rsidR="003C77A5" w:rsidRDefault="003C77A5">
      <w:pPr>
        <w:rPr>
          <w:rFonts w:hint="eastAsia"/>
        </w:rPr>
      </w:pPr>
      <w:r>
        <w:separator/>
      </w:r>
    </w:p>
  </w:endnote>
  <w:endnote w:type="continuationSeparator" w:id="0">
    <w:p w14:paraId="533BD41A" w14:textId="77777777" w:rsidR="003C77A5" w:rsidRDefault="003C77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4D"/>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98DB" w14:textId="77777777" w:rsidR="003C77A5" w:rsidRDefault="003C77A5">
      <w:pPr>
        <w:rPr>
          <w:rFonts w:hint="eastAsia"/>
        </w:rPr>
      </w:pPr>
      <w:r>
        <w:rPr>
          <w:color w:val="000000"/>
        </w:rPr>
        <w:separator/>
      </w:r>
    </w:p>
  </w:footnote>
  <w:footnote w:type="continuationSeparator" w:id="0">
    <w:p w14:paraId="441E886A" w14:textId="77777777" w:rsidR="003C77A5" w:rsidRDefault="003C77A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7DAA"/>
    <w:rsid w:val="00247DAA"/>
    <w:rsid w:val="003C77A5"/>
    <w:rsid w:val="00D6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F7B724"/>
  <w15:docId w15:val="{9E396FF0-A18A-084F-AEB8-BD03FDF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DefaultParagraphFont"/>
    <w:uiPriority w:val="99"/>
    <w:unhideWhenUsed/>
    <w:rsid w:val="00D6743E"/>
    <w:rPr>
      <w:color w:val="0563C1" w:themeColor="hyperlink"/>
      <w:u w:val="single"/>
    </w:rPr>
  </w:style>
  <w:style w:type="character" w:styleId="UnresolvedMention">
    <w:name w:val="Unresolved Mention"/>
    <w:basedOn w:val="DefaultParagraphFont"/>
    <w:uiPriority w:val="99"/>
    <w:semiHidden/>
    <w:unhideWhenUsed/>
    <w:rsid w:val="00D6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jones@governmentlegal.gov.uk"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oliver perceval</cp:lastModifiedBy>
  <cp:revision>2</cp:revision>
  <cp:lastPrinted>2023-10-03T13:44:00Z</cp:lastPrinted>
  <dcterms:created xsi:type="dcterms:W3CDTF">2023-10-05T12:37:00Z</dcterms:created>
  <dcterms:modified xsi:type="dcterms:W3CDTF">2023-10-05T12:37:00Z</dcterms:modified>
</cp:coreProperties>
</file>