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7269F" w14:textId="77777777" w:rsidR="002B7465" w:rsidRDefault="002B7465">
      <w:pPr>
        <w:spacing w:line="288" w:lineRule="auto"/>
        <w:rPr>
          <w:rFonts w:hint="eastAsia"/>
        </w:rPr>
      </w:pPr>
      <w:bookmarkStart w:id="0" w:name="__RefHeading___Toc6523_2626648583"/>
      <w:bookmarkEnd w:id="0"/>
    </w:p>
    <w:p w14:paraId="583166EB" w14:textId="2945D29E" w:rsidR="002B7465" w:rsidRDefault="00000000">
      <w:pPr>
        <w:pStyle w:val="Heading2"/>
        <w:spacing w:before="0" w:after="0" w:line="288" w:lineRule="auto"/>
        <w:rPr>
          <w:rFonts w:hint="eastAsia"/>
        </w:rPr>
      </w:pPr>
      <w:r>
        <w:rPr>
          <w:rFonts w:cs="Arial"/>
          <w:color w:val="FF0000"/>
          <w:lang w:val="fr-FR"/>
        </w:rPr>
        <w:t>OBJECTION – 2024/xxx/FUL</w:t>
      </w:r>
      <w:r>
        <w:rPr>
          <w:color w:val="FF0000"/>
          <w:lang w:val="fr-FR"/>
        </w:rPr>
        <w:t xml:space="preserve"> </w:t>
      </w:r>
      <w:r>
        <w:rPr>
          <w:rFonts w:cs="Arial"/>
          <w:color w:val="FF0000"/>
          <w:lang w:val="fr-FR"/>
        </w:rPr>
        <w:tab/>
        <w:t xml:space="preserve"> </w:t>
      </w:r>
      <w:r>
        <w:rPr>
          <w:rFonts w:cs="Arial"/>
          <w:color w:val="FF0000"/>
          <w:lang w:val="fr-FR"/>
        </w:rPr>
        <w:tab/>
        <w:t xml:space="preserve">         </w:t>
      </w:r>
      <w:r>
        <w:rPr>
          <w:rFonts w:cs="Arial"/>
          <w:color w:val="FF0000"/>
          <w:lang w:val="fr-FR"/>
        </w:rPr>
        <w:tab/>
        <w:t xml:space="preserve">   </w:t>
      </w:r>
      <w:r>
        <w:rPr>
          <w:rFonts w:cs="Arial"/>
          <w:color w:val="FF0000"/>
          <w:lang w:val="fr-FR"/>
        </w:rPr>
        <w:tab/>
      </w:r>
      <w:r>
        <w:rPr>
          <w:rFonts w:cs="Arial"/>
          <w:color w:val="FF0000"/>
          <w:lang w:val="fr-FR"/>
        </w:rPr>
        <w:tab/>
      </w:r>
      <w:r w:rsidR="00EA738E">
        <w:rPr>
          <w:rFonts w:cs="Arial"/>
          <w:color w:val="FF0000"/>
          <w:lang w:val="fr-FR"/>
        </w:rPr>
        <w:t xml:space="preserve">                      </w:t>
      </w:r>
      <w:r>
        <w:rPr>
          <w:rFonts w:cs="Arial"/>
          <w:color w:val="FF0000"/>
          <w:lang w:val="fr-FR"/>
        </w:rPr>
        <w:t>XX.XX.2024</w:t>
      </w:r>
    </w:p>
    <w:p w14:paraId="7A46384F" w14:textId="77777777" w:rsidR="002B7465" w:rsidRDefault="00000000">
      <w:pPr>
        <w:spacing w:line="288" w:lineRule="auto"/>
        <w:rPr>
          <w:rFonts w:hint="eastAsia"/>
          <w:sz w:val="22"/>
          <w:szCs w:val="22"/>
        </w:rPr>
      </w:pPr>
      <w:r>
        <w:rPr>
          <w:rFonts w:cs="Arial"/>
          <w:color w:val="FF0000"/>
          <w:sz w:val="22"/>
          <w:szCs w:val="22"/>
        </w:rPr>
        <w:t xml:space="preserve">Prior Approval for the proposed erection of a 5G telecoms </w:t>
      </w:r>
      <w:proofErr w:type="spellStart"/>
      <w:r>
        <w:rPr>
          <w:rFonts w:cs="Arial"/>
          <w:color w:val="FF0000"/>
          <w:sz w:val="22"/>
          <w:szCs w:val="22"/>
        </w:rPr>
        <w:t>xxxxxxxxxxx</w:t>
      </w:r>
      <w:proofErr w:type="spellEnd"/>
    </w:p>
    <w:p w14:paraId="72EB20F6" w14:textId="77777777" w:rsidR="002B7465" w:rsidRDefault="00000000">
      <w:pPr>
        <w:shd w:val="clear" w:color="auto" w:fill="FFFFFF"/>
        <w:spacing w:line="288" w:lineRule="auto"/>
        <w:rPr>
          <w:rFonts w:hint="eastAsia"/>
          <w:sz w:val="22"/>
          <w:szCs w:val="22"/>
        </w:rPr>
      </w:pPr>
      <w:r>
        <w:rPr>
          <w:rFonts w:cs="Arial"/>
          <w:color w:val="FF0000"/>
          <w:sz w:val="22"/>
          <w:szCs w:val="22"/>
        </w:rPr>
        <w:t xml:space="preserve">Site address </w:t>
      </w:r>
      <w:proofErr w:type="spellStart"/>
      <w:r>
        <w:rPr>
          <w:rFonts w:cs="Arial"/>
          <w:color w:val="FF0000"/>
          <w:sz w:val="22"/>
          <w:szCs w:val="22"/>
        </w:rPr>
        <w:t>xxxxxxx</w:t>
      </w:r>
      <w:proofErr w:type="spellEnd"/>
    </w:p>
    <w:p w14:paraId="415C7DB8" w14:textId="77777777" w:rsidR="002B7465" w:rsidRDefault="002B7465">
      <w:pPr>
        <w:spacing w:line="288" w:lineRule="auto"/>
        <w:rPr>
          <w:rFonts w:cs="Arial" w:hint="eastAsia"/>
          <w:color w:val="FF0000"/>
          <w:sz w:val="22"/>
          <w:szCs w:val="22"/>
          <w:shd w:val="clear" w:color="auto" w:fill="FFFFFF"/>
        </w:rPr>
      </w:pPr>
    </w:p>
    <w:p w14:paraId="144FDB88" w14:textId="77777777" w:rsidR="002B7465" w:rsidRDefault="00000000">
      <w:pPr>
        <w:spacing w:line="288" w:lineRule="auto"/>
        <w:rPr>
          <w:rFonts w:hint="eastAsia"/>
          <w:sz w:val="22"/>
          <w:szCs w:val="22"/>
        </w:rPr>
      </w:pPr>
      <w:r>
        <w:rPr>
          <w:rFonts w:cs="Arial"/>
          <w:color w:val="FF0000"/>
          <w:sz w:val="22"/>
          <w:szCs w:val="22"/>
        </w:rPr>
        <w:t>Case Officer:  XXXX</w:t>
      </w:r>
    </w:p>
    <w:p w14:paraId="56A5A228" w14:textId="77777777" w:rsidR="002B7465" w:rsidRDefault="002B7465">
      <w:pPr>
        <w:spacing w:line="288" w:lineRule="auto"/>
        <w:rPr>
          <w:rFonts w:cs="Arial" w:hint="eastAsia"/>
          <w:color w:val="000000"/>
          <w:sz w:val="22"/>
          <w:szCs w:val="22"/>
        </w:rPr>
      </w:pPr>
    </w:p>
    <w:p w14:paraId="2B4AC9C0" w14:textId="77777777" w:rsidR="002B7465" w:rsidRDefault="002B7465">
      <w:pPr>
        <w:spacing w:line="288" w:lineRule="auto"/>
        <w:rPr>
          <w:rFonts w:cs="Arial" w:hint="eastAsia"/>
          <w:color w:val="000000"/>
          <w:sz w:val="22"/>
          <w:szCs w:val="22"/>
        </w:rPr>
      </w:pPr>
    </w:p>
    <w:p w14:paraId="6F2A8FD5" w14:textId="77777777" w:rsidR="002B7465" w:rsidRDefault="002B7465">
      <w:pPr>
        <w:spacing w:line="288" w:lineRule="auto"/>
        <w:rPr>
          <w:rFonts w:cs="Arial" w:hint="eastAsia"/>
          <w:color w:val="000000"/>
          <w:sz w:val="22"/>
          <w:szCs w:val="22"/>
        </w:rPr>
      </w:pPr>
    </w:p>
    <w:p w14:paraId="4EDCCA5A" w14:textId="77777777" w:rsidR="002B7465" w:rsidRDefault="00000000">
      <w:pPr>
        <w:pStyle w:val="NormalWeb"/>
        <w:shd w:val="clear" w:color="auto" w:fill="FFFFFF"/>
        <w:spacing w:before="0" w:after="0" w:line="288" w:lineRule="auto"/>
        <w:rPr>
          <w:rFonts w:hint="eastAsia"/>
          <w:sz w:val="22"/>
          <w:szCs w:val="22"/>
        </w:rPr>
      </w:pPr>
      <w:r>
        <w:rPr>
          <w:rFonts w:cs="Arial"/>
          <w:color w:val="000000"/>
          <w:sz w:val="22"/>
          <w:szCs w:val="22"/>
        </w:rPr>
        <w:t xml:space="preserve">Dear </w:t>
      </w:r>
      <w:r>
        <w:rPr>
          <w:rFonts w:cs="Arial"/>
          <w:color w:val="FF0000"/>
          <w:sz w:val="22"/>
          <w:szCs w:val="22"/>
        </w:rPr>
        <w:t>XXXXXX</w:t>
      </w:r>
    </w:p>
    <w:p w14:paraId="074BAECC" w14:textId="77777777" w:rsidR="002B7465" w:rsidRDefault="002B7465">
      <w:pPr>
        <w:spacing w:line="288" w:lineRule="auto"/>
        <w:rPr>
          <w:rFonts w:cs="Arial" w:hint="eastAsia"/>
          <w:sz w:val="22"/>
          <w:szCs w:val="22"/>
        </w:rPr>
      </w:pPr>
    </w:p>
    <w:p w14:paraId="7D7D8240" w14:textId="77777777" w:rsidR="002B7465" w:rsidRDefault="00000000">
      <w:pPr>
        <w:spacing w:line="288" w:lineRule="auto"/>
        <w:rPr>
          <w:rFonts w:hint="eastAsia"/>
          <w:sz w:val="22"/>
          <w:szCs w:val="22"/>
        </w:rPr>
      </w:pPr>
      <w:r>
        <w:rPr>
          <w:rFonts w:cs="Arial"/>
          <w:color w:val="000000"/>
          <w:sz w:val="22"/>
          <w:szCs w:val="22"/>
        </w:rPr>
        <w:t xml:space="preserve">Please consider that under the GPDO, Prior Approval still needs assessing for new masts on reserved matters ‘siting and appearance’. </w:t>
      </w:r>
    </w:p>
    <w:p w14:paraId="52FACFA7" w14:textId="77777777" w:rsidR="002B7465" w:rsidRDefault="002B7465">
      <w:pPr>
        <w:spacing w:line="288" w:lineRule="auto"/>
        <w:rPr>
          <w:rFonts w:cs="Arial" w:hint="eastAsia"/>
          <w:color w:val="000000"/>
        </w:rPr>
      </w:pPr>
    </w:p>
    <w:p w14:paraId="7AFD23FD" w14:textId="77777777" w:rsidR="002B7465" w:rsidRDefault="00000000">
      <w:pPr>
        <w:spacing w:line="288" w:lineRule="auto"/>
        <w:rPr>
          <w:rFonts w:hint="eastAsia"/>
          <w:sz w:val="22"/>
          <w:szCs w:val="22"/>
        </w:rPr>
      </w:pPr>
      <w:r>
        <w:rPr>
          <w:rFonts w:cs="Arial"/>
          <w:color w:val="000000"/>
          <w:sz w:val="22"/>
          <w:szCs w:val="22"/>
        </w:rPr>
        <w:t>This objection references the new Dec-2023 NPPF (previous version July-2021 references are provided in brackets).</w:t>
      </w:r>
    </w:p>
    <w:p w14:paraId="5C5A9772" w14:textId="77777777" w:rsidR="002B7465" w:rsidRDefault="002B7465">
      <w:pPr>
        <w:spacing w:line="288" w:lineRule="auto"/>
        <w:rPr>
          <w:rFonts w:cs="Arial" w:hint="eastAsia"/>
          <w:color w:val="000000"/>
        </w:rPr>
      </w:pPr>
    </w:p>
    <w:p w14:paraId="1A70D80B" w14:textId="77777777" w:rsidR="002B7465" w:rsidRDefault="00000000">
      <w:pPr>
        <w:spacing w:line="288" w:lineRule="auto"/>
        <w:rPr>
          <w:rFonts w:cs="Arial" w:hint="eastAsia"/>
          <w:color w:val="000000"/>
          <w:sz w:val="22"/>
          <w:szCs w:val="22"/>
          <w:shd w:val="clear" w:color="auto" w:fill="FFFFFF"/>
          <w:lang w:bidi="ar-SA"/>
        </w:rPr>
      </w:pPr>
      <w:r>
        <w:rPr>
          <w:rFonts w:cs="Arial"/>
          <w:color w:val="000000"/>
          <w:sz w:val="22"/>
          <w:szCs w:val="22"/>
          <w:shd w:val="clear" w:color="auto" w:fill="FFFFFF"/>
          <w:lang w:bidi="ar-SA"/>
        </w:rPr>
        <w:t>I object to this application for the following reasons:</w:t>
      </w:r>
    </w:p>
    <w:p w14:paraId="761CD97C" w14:textId="77777777" w:rsidR="002B7465" w:rsidRDefault="002B7465">
      <w:pPr>
        <w:spacing w:line="288" w:lineRule="auto"/>
        <w:rPr>
          <w:rFonts w:hint="eastAsia"/>
          <w:sz w:val="22"/>
          <w:szCs w:val="22"/>
        </w:rPr>
      </w:pPr>
    </w:p>
    <w:p w14:paraId="4BD072CA" w14:textId="77777777" w:rsidR="002B7465" w:rsidRDefault="00000000">
      <w:pPr>
        <w:pStyle w:val="Heading2"/>
        <w:spacing w:before="0" w:after="0" w:line="288" w:lineRule="auto"/>
        <w:rPr>
          <w:rFonts w:hint="eastAsia"/>
          <w:color w:val="2A6099"/>
          <w:sz w:val="24"/>
          <w:szCs w:val="24"/>
        </w:rPr>
      </w:pPr>
      <w:bookmarkStart w:id="1" w:name="__RefHeading___Toc6525_2626648583"/>
      <w:bookmarkEnd w:id="1"/>
      <w:r>
        <w:rPr>
          <w:color w:val="2A6099"/>
          <w:sz w:val="24"/>
          <w:szCs w:val="24"/>
        </w:rPr>
        <w:t>LOCATION</w:t>
      </w:r>
    </w:p>
    <w:p w14:paraId="16D09C42" w14:textId="77777777" w:rsidR="002B7465" w:rsidRDefault="00000000">
      <w:pPr>
        <w:numPr>
          <w:ilvl w:val="0"/>
          <w:numId w:val="2"/>
        </w:numPr>
        <w:spacing w:line="288" w:lineRule="auto"/>
        <w:rPr>
          <w:rFonts w:hint="eastAsia"/>
        </w:rPr>
      </w:pPr>
      <w:r>
        <w:rPr>
          <w:rFonts w:cs="Arial"/>
          <w:color w:val="FF0000"/>
          <w:sz w:val="22"/>
          <w:szCs w:val="22"/>
        </w:rPr>
        <w:t xml:space="preserve">It is just 4m from a house, next to the </w:t>
      </w:r>
      <w:proofErr w:type="spellStart"/>
      <w:r>
        <w:rPr>
          <w:rFonts w:cs="Arial"/>
          <w:color w:val="FF0000"/>
          <w:sz w:val="22"/>
          <w:szCs w:val="22"/>
        </w:rPr>
        <w:t>xxxxx</w:t>
      </w:r>
      <w:proofErr w:type="spellEnd"/>
      <w:r>
        <w:rPr>
          <w:rFonts w:cs="Arial"/>
          <w:color w:val="FF0000"/>
          <w:sz w:val="22"/>
          <w:szCs w:val="22"/>
        </w:rPr>
        <w:t xml:space="preserve"> Hall medical centre, 10m from the conservation area, opposite a Grade II listed park, 400m from London </w:t>
      </w:r>
      <w:proofErr w:type="spellStart"/>
      <w:r>
        <w:rPr>
          <w:rFonts w:cs="Arial"/>
          <w:color w:val="FF0000"/>
          <w:sz w:val="22"/>
          <w:szCs w:val="22"/>
        </w:rPr>
        <w:t>xxxx</w:t>
      </w:r>
      <w:proofErr w:type="spellEnd"/>
      <w:r>
        <w:rPr>
          <w:rFonts w:cs="Arial"/>
          <w:color w:val="FF0000"/>
          <w:sz w:val="22"/>
          <w:szCs w:val="22"/>
        </w:rPr>
        <w:t xml:space="preserve"> School, and 370m from </w:t>
      </w:r>
      <w:proofErr w:type="spellStart"/>
      <w:r>
        <w:rPr>
          <w:rFonts w:cs="Arial"/>
          <w:color w:val="FF0000"/>
          <w:sz w:val="22"/>
          <w:szCs w:val="22"/>
        </w:rPr>
        <w:t>xxxx</w:t>
      </w:r>
      <w:proofErr w:type="spellEnd"/>
      <w:r>
        <w:rPr>
          <w:rFonts w:cs="Arial"/>
          <w:color w:val="FF0000"/>
          <w:sz w:val="22"/>
          <w:szCs w:val="22"/>
        </w:rPr>
        <w:t xml:space="preserve"> Academy and 100m from application 22/</w:t>
      </w:r>
      <w:proofErr w:type="spellStart"/>
      <w:r>
        <w:rPr>
          <w:rFonts w:cs="Arial"/>
          <w:color w:val="FF0000"/>
          <w:sz w:val="22"/>
          <w:szCs w:val="22"/>
        </w:rPr>
        <w:t>Pxxxx</w:t>
      </w:r>
      <w:proofErr w:type="spellEnd"/>
      <w:r>
        <w:rPr>
          <w:rFonts w:cs="Arial"/>
          <w:color w:val="FF0000"/>
          <w:sz w:val="22"/>
          <w:szCs w:val="22"/>
        </w:rPr>
        <w:t xml:space="preserve"> which was refused.</w:t>
      </w:r>
    </w:p>
    <w:p w14:paraId="5C074087" w14:textId="77777777" w:rsidR="002B7465" w:rsidRDefault="002B7465">
      <w:pPr>
        <w:spacing w:line="288" w:lineRule="auto"/>
        <w:ind w:left="720"/>
        <w:rPr>
          <w:rFonts w:hint="eastAsia"/>
        </w:rPr>
      </w:pPr>
    </w:p>
    <w:p w14:paraId="1D436FDC" w14:textId="77777777" w:rsidR="002B7465" w:rsidRDefault="00000000">
      <w:pPr>
        <w:pStyle w:val="Heading2"/>
        <w:numPr>
          <w:ilvl w:val="0"/>
          <w:numId w:val="0"/>
        </w:numPr>
        <w:spacing w:before="0" w:after="0" w:line="288" w:lineRule="auto"/>
        <w:rPr>
          <w:rFonts w:hint="eastAsia"/>
          <w:color w:val="2A6099"/>
          <w:sz w:val="24"/>
          <w:szCs w:val="24"/>
        </w:rPr>
      </w:pPr>
      <w:bookmarkStart w:id="2" w:name="__RefHeading___Toc6527_2626648583"/>
      <w:bookmarkEnd w:id="2"/>
      <w:r>
        <w:rPr>
          <w:color w:val="2A6099"/>
          <w:sz w:val="24"/>
          <w:szCs w:val="24"/>
        </w:rPr>
        <w:t>APPEARANCE</w:t>
      </w:r>
    </w:p>
    <w:p w14:paraId="3F270537" w14:textId="0ECF7FE0" w:rsidR="002B7465" w:rsidRDefault="00000000">
      <w:pPr>
        <w:numPr>
          <w:ilvl w:val="0"/>
          <w:numId w:val="3"/>
        </w:numPr>
        <w:spacing w:line="288" w:lineRule="auto"/>
        <w:rPr>
          <w:rFonts w:hint="eastAsia"/>
          <w:sz w:val="22"/>
          <w:szCs w:val="22"/>
        </w:rPr>
      </w:pPr>
      <w:r>
        <w:rPr>
          <w:rFonts w:cs="Arial"/>
          <w:color w:val="000000"/>
          <w:sz w:val="22"/>
          <w:szCs w:val="22"/>
        </w:rPr>
        <w:t>This height of this 5G apparatus in this location is overbearing, obtrusive and unsightly and is unfitting in this</w:t>
      </w:r>
      <w:r>
        <w:rPr>
          <w:rFonts w:cs="Arial"/>
          <w:color w:val="FF3838"/>
          <w:sz w:val="22"/>
          <w:szCs w:val="22"/>
        </w:rPr>
        <w:t xml:space="preserve"> residential (remove if site is industrial) </w:t>
      </w:r>
      <w:r>
        <w:rPr>
          <w:rFonts w:cs="Arial"/>
          <w:color w:val="000000"/>
          <w:sz w:val="22"/>
          <w:szCs w:val="22"/>
        </w:rPr>
        <w:t>location. It could cause anxiety and harm to the amenity of the area.</w:t>
      </w:r>
    </w:p>
    <w:p w14:paraId="56FFF4F5" w14:textId="77777777" w:rsidR="002B7465" w:rsidRDefault="002B7465">
      <w:pPr>
        <w:spacing w:line="288" w:lineRule="auto"/>
        <w:ind w:left="720"/>
        <w:rPr>
          <w:rFonts w:hint="eastAsia"/>
          <w:sz w:val="22"/>
          <w:szCs w:val="22"/>
        </w:rPr>
      </w:pPr>
    </w:p>
    <w:p w14:paraId="34653D03" w14:textId="77777777" w:rsidR="002B7465" w:rsidRDefault="00000000">
      <w:pPr>
        <w:pStyle w:val="Heading2"/>
        <w:spacing w:before="0" w:after="0" w:line="288" w:lineRule="auto"/>
        <w:rPr>
          <w:rFonts w:hint="eastAsia"/>
          <w:color w:val="2A6099"/>
          <w:sz w:val="24"/>
          <w:szCs w:val="24"/>
        </w:rPr>
      </w:pPr>
      <w:bookmarkStart w:id="3" w:name="__RefHeading___Toc6529_2626648583"/>
      <w:bookmarkEnd w:id="3"/>
      <w:r>
        <w:rPr>
          <w:color w:val="2A6099"/>
          <w:sz w:val="24"/>
          <w:szCs w:val="24"/>
        </w:rPr>
        <w:t>JUSTIFICATION</w:t>
      </w:r>
    </w:p>
    <w:p w14:paraId="2AE2660C" w14:textId="77777777" w:rsidR="002B7465" w:rsidRDefault="00000000">
      <w:pPr>
        <w:numPr>
          <w:ilvl w:val="0"/>
          <w:numId w:val="3"/>
        </w:numPr>
        <w:spacing w:line="288" w:lineRule="auto"/>
        <w:rPr>
          <w:rFonts w:hint="eastAsia"/>
          <w:sz w:val="22"/>
          <w:szCs w:val="22"/>
          <w:highlight w:val="yellow"/>
        </w:rPr>
      </w:pPr>
      <w:r>
        <w:rPr>
          <w:rFonts w:cs="Arial"/>
          <w:color w:val="FF4000"/>
          <w:sz w:val="22"/>
          <w:szCs w:val="22"/>
        </w:rPr>
        <w:t xml:space="preserve">5G infill is not justified. There is adequate mobile coverage from this site, I have checked that a call to a landline is possible from this location and surrounding area, and I have checked the mobile coverage maps. </w:t>
      </w:r>
      <w:r w:rsidRPr="00962878">
        <w:rPr>
          <w:rFonts w:cs="Arial" w:hint="eastAsia"/>
          <w:color w:val="FF4000"/>
          <w:sz w:val="22"/>
          <w:szCs w:val="22"/>
          <w:highlight w:val="yellow"/>
        </w:rPr>
        <w:t>(adjust for your situation)</w:t>
      </w:r>
    </w:p>
    <w:p w14:paraId="4A71988D" w14:textId="77777777" w:rsidR="002B7465" w:rsidRDefault="00000000">
      <w:pPr>
        <w:spacing w:line="288" w:lineRule="auto"/>
        <w:ind w:left="720"/>
        <w:rPr>
          <w:rFonts w:cs="Arial" w:hint="eastAsia"/>
          <w:color w:val="000000"/>
          <w:sz w:val="22"/>
          <w:szCs w:val="22"/>
        </w:rPr>
      </w:pPr>
      <w:r>
        <w:rPr>
          <w:rFonts w:cs="Arial"/>
          <w:color w:val="FF4000"/>
          <w:sz w:val="22"/>
          <w:szCs w:val="22"/>
        </w:rPr>
        <w:t xml:space="preserve">The applicant has not sufficiently demonstrated the need for this installation. </w:t>
      </w:r>
      <w:r>
        <w:rPr>
          <w:rFonts w:cs="Arial"/>
          <w:color w:val="000000"/>
          <w:sz w:val="22"/>
          <w:szCs w:val="22"/>
        </w:rPr>
        <w:t xml:space="preserve"> (NPPF 119 (115)).</w:t>
      </w:r>
    </w:p>
    <w:p w14:paraId="02F629ED" w14:textId="77777777" w:rsidR="002B7465" w:rsidRDefault="002B7465">
      <w:pPr>
        <w:spacing w:line="288" w:lineRule="auto"/>
        <w:ind w:left="720"/>
        <w:rPr>
          <w:rFonts w:hint="eastAsia"/>
        </w:rPr>
      </w:pPr>
    </w:p>
    <w:p w14:paraId="38B30E43" w14:textId="77777777" w:rsidR="002B7465" w:rsidRDefault="00000000">
      <w:pPr>
        <w:pStyle w:val="Heading2"/>
        <w:spacing w:before="0" w:after="0" w:line="288" w:lineRule="auto"/>
        <w:rPr>
          <w:rFonts w:hint="eastAsia"/>
          <w:color w:val="2A6099"/>
          <w:sz w:val="24"/>
          <w:szCs w:val="24"/>
        </w:rPr>
      </w:pPr>
      <w:bookmarkStart w:id="4" w:name="__RefHeading___Toc6531_2626648583"/>
      <w:bookmarkEnd w:id="4"/>
      <w:r>
        <w:rPr>
          <w:color w:val="2A6099"/>
          <w:sz w:val="24"/>
          <w:szCs w:val="24"/>
        </w:rPr>
        <w:t>SITING</w:t>
      </w:r>
    </w:p>
    <w:p w14:paraId="4836FDC7" w14:textId="77777777" w:rsidR="002B7465" w:rsidRDefault="00000000">
      <w:pPr>
        <w:numPr>
          <w:ilvl w:val="0"/>
          <w:numId w:val="3"/>
        </w:numPr>
        <w:spacing w:line="288" w:lineRule="auto"/>
        <w:rPr>
          <w:rFonts w:hint="eastAsia"/>
          <w:sz w:val="22"/>
          <w:szCs w:val="22"/>
        </w:rPr>
      </w:pPr>
      <w:r>
        <w:rPr>
          <w:rFonts w:cs="Arial"/>
          <w:color w:val="000000"/>
          <w:sz w:val="22"/>
          <w:szCs w:val="22"/>
        </w:rPr>
        <w:t xml:space="preserve">This mast proposal is sited within 500m of sensitive receptors such as </w:t>
      </w:r>
      <w:r>
        <w:rPr>
          <w:rFonts w:cs="Arial"/>
          <w:color w:val="FF0000"/>
          <w:sz w:val="22"/>
          <w:szCs w:val="22"/>
        </w:rPr>
        <w:t xml:space="preserve">trees, </w:t>
      </w:r>
      <w:proofErr w:type="gramStart"/>
      <w:r>
        <w:rPr>
          <w:rFonts w:cs="Arial"/>
          <w:color w:val="FF0000"/>
          <w:sz w:val="22"/>
          <w:szCs w:val="22"/>
        </w:rPr>
        <w:t>houses</w:t>
      </w:r>
      <w:proofErr w:type="gramEnd"/>
      <w:r>
        <w:rPr>
          <w:rFonts w:cs="Arial"/>
          <w:color w:val="FF0000"/>
          <w:sz w:val="22"/>
          <w:szCs w:val="22"/>
        </w:rPr>
        <w:t xml:space="preserve"> and parks </w:t>
      </w:r>
      <w:r>
        <w:rPr>
          <w:rFonts w:cs="Arial"/>
          <w:color w:val="000000"/>
          <w:sz w:val="22"/>
          <w:szCs w:val="22"/>
        </w:rPr>
        <w:t>(see Appendix A2.1, A2.2, A2.3)</w:t>
      </w:r>
    </w:p>
    <w:p w14:paraId="5EAB440A" w14:textId="77777777" w:rsidR="002B7465" w:rsidRDefault="002B7465">
      <w:pPr>
        <w:spacing w:line="288" w:lineRule="auto"/>
        <w:rPr>
          <w:rFonts w:hint="eastAsia"/>
          <w:sz w:val="22"/>
          <w:szCs w:val="22"/>
        </w:rPr>
      </w:pPr>
    </w:p>
    <w:p w14:paraId="6B5E14AA" w14:textId="77777777" w:rsidR="002B7465" w:rsidRDefault="00000000">
      <w:pPr>
        <w:spacing w:line="288" w:lineRule="auto"/>
        <w:rPr>
          <w:rFonts w:hint="eastAsia"/>
          <w:sz w:val="22"/>
          <w:szCs w:val="22"/>
        </w:rPr>
      </w:pPr>
      <w:r>
        <w:rPr>
          <w:rFonts w:cs="Arial"/>
          <w:color w:val="000000"/>
          <w:sz w:val="22"/>
          <w:szCs w:val="22"/>
        </w:rPr>
        <w:t>I am advised that</w:t>
      </w:r>
      <w:r>
        <w:rPr>
          <w:rFonts w:cs="Arial"/>
          <w:b/>
          <w:bCs/>
          <w:color w:val="000000"/>
          <w:sz w:val="22"/>
          <w:szCs w:val="22"/>
        </w:rPr>
        <w:t xml:space="preserve"> health and environmental impacts are a siting issue</w:t>
      </w:r>
      <w:r>
        <w:rPr>
          <w:rFonts w:cs="Arial"/>
          <w:color w:val="000000"/>
          <w:sz w:val="22"/>
          <w:szCs w:val="22"/>
        </w:rPr>
        <w:t xml:space="preserve"> despite the commonly held position that health impacts cannot be considered beyond receiving an ICNIRP certificate. (See Appendix A1).</w:t>
      </w:r>
    </w:p>
    <w:p w14:paraId="134BABAE" w14:textId="77777777" w:rsidR="002B7465" w:rsidRDefault="002B7465">
      <w:pPr>
        <w:spacing w:line="288" w:lineRule="auto"/>
        <w:rPr>
          <w:rFonts w:hint="eastAsia"/>
          <w:b/>
          <w:bCs/>
          <w:sz w:val="22"/>
          <w:szCs w:val="22"/>
        </w:rPr>
      </w:pPr>
    </w:p>
    <w:p w14:paraId="5905F7AB" w14:textId="49697BA2" w:rsidR="002B7465" w:rsidRDefault="00000000">
      <w:pPr>
        <w:spacing w:line="288" w:lineRule="auto"/>
        <w:rPr>
          <w:rFonts w:hint="eastAsia"/>
          <w:sz w:val="22"/>
          <w:szCs w:val="22"/>
        </w:rPr>
      </w:pPr>
      <w:r>
        <w:rPr>
          <w:rFonts w:cs="Arial"/>
          <w:i/>
          <w:iCs/>
          <w:color w:val="000000"/>
          <w:sz w:val="22"/>
          <w:szCs w:val="22"/>
        </w:rPr>
        <w:t>The in-depth analysis of the legal position on RFR regulation highlights:</w:t>
      </w:r>
    </w:p>
    <w:p w14:paraId="54FB4392" w14:textId="77777777" w:rsidR="002B7465" w:rsidRDefault="002B7465">
      <w:pPr>
        <w:spacing w:line="288" w:lineRule="auto"/>
        <w:rPr>
          <w:rFonts w:hint="eastAsia"/>
          <w:sz w:val="22"/>
          <w:szCs w:val="22"/>
        </w:rPr>
      </w:pPr>
    </w:p>
    <w:p w14:paraId="465C19D2" w14:textId="6EB8C5B9" w:rsidR="002B7465" w:rsidRDefault="00000000">
      <w:pPr>
        <w:numPr>
          <w:ilvl w:val="0"/>
          <w:numId w:val="4"/>
        </w:numPr>
        <w:spacing w:line="288" w:lineRule="auto"/>
        <w:rPr>
          <w:rFonts w:hint="eastAsia"/>
          <w:sz w:val="22"/>
          <w:szCs w:val="22"/>
        </w:rPr>
      </w:pPr>
      <w:r>
        <w:rPr>
          <w:rFonts w:cs="Arial"/>
          <w:color w:val="000000"/>
          <w:sz w:val="22"/>
          <w:szCs w:val="22"/>
        </w:rPr>
        <w:lastRenderedPageBreak/>
        <w:t xml:space="preserve">LPAs </w:t>
      </w:r>
      <w:r>
        <w:rPr>
          <w:rFonts w:cs="Arial"/>
          <w:b/>
          <w:bCs/>
          <w:i/>
          <w:iCs/>
          <w:color w:val="000000"/>
          <w:sz w:val="22"/>
          <w:szCs w:val="22"/>
        </w:rPr>
        <w:t>MUST</w:t>
      </w:r>
      <w:r>
        <w:rPr>
          <w:rFonts w:cs="Arial"/>
          <w:i/>
          <w:iCs/>
          <w:color w:val="000000"/>
          <w:sz w:val="22"/>
          <w:szCs w:val="22"/>
        </w:rPr>
        <w:t xml:space="preserve"> </w:t>
      </w:r>
      <w:r>
        <w:rPr>
          <w:rFonts w:cs="Arial"/>
          <w:color w:val="000000"/>
          <w:sz w:val="22"/>
          <w:szCs w:val="22"/>
        </w:rPr>
        <w:t xml:space="preserve">make an evidence-based determination of the risks to fully dispose of the material planning consideration 'incompatible and unacceptable’ use of the land. The ICNIRP certificate as evidence of </w:t>
      </w:r>
      <w:proofErr w:type="gramStart"/>
      <w:r>
        <w:rPr>
          <w:rFonts w:cs="Arial"/>
          <w:color w:val="000000"/>
          <w:sz w:val="22"/>
          <w:szCs w:val="22"/>
        </w:rPr>
        <w:t>safety  must</w:t>
      </w:r>
      <w:proofErr w:type="gramEnd"/>
      <w:r>
        <w:rPr>
          <w:rFonts w:cs="Arial"/>
          <w:color w:val="000000"/>
          <w:sz w:val="22"/>
          <w:szCs w:val="22"/>
        </w:rPr>
        <w:t xml:space="preserve"> be weighed against the content of this objection as evidence of ‘incompatibility’. (Appendix A1.3 EECC submission link for full argument).</w:t>
      </w:r>
    </w:p>
    <w:p w14:paraId="72588BF1" w14:textId="77777777" w:rsidR="002B7465" w:rsidRDefault="002B7465">
      <w:pPr>
        <w:spacing w:line="288" w:lineRule="auto"/>
        <w:ind w:left="720"/>
        <w:rPr>
          <w:rFonts w:cs="Arial" w:hint="eastAsia"/>
          <w:color w:val="000000"/>
        </w:rPr>
      </w:pPr>
    </w:p>
    <w:p w14:paraId="49FD927D" w14:textId="43E93B36" w:rsidR="002B7465" w:rsidRDefault="00000000">
      <w:pPr>
        <w:numPr>
          <w:ilvl w:val="0"/>
          <w:numId w:val="4"/>
        </w:numPr>
        <w:spacing w:line="288" w:lineRule="auto"/>
        <w:rPr>
          <w:rFonts w:hint="eastAsia"/>
          <w:sz w:val="22"/>
          <w:szCs w:val="22"/>
        </w:rPr>
      </w:pPr>
      <w:r>
        <w:rPr>
          <w:rFonts w:cs="Arial"/>
          <w:color w:val="000000"/>
          <w:sz w:val="22"/>
          <w:szCs w:val="22"/>
        </w:rPr>
        <w:t>LPAs</w:t>
      </w:r>
      <w:r>
        <w:rPr>
          <w:rFonts w:cs="Arial"/>
          <w:b/>
          <w:bCs/>
          <w:i/>
          <w:iCs/>
          <w:color w:val="000000"/>
          <w:sz w:val="22"/>
          <w:szCs w:val="22"/>
        </w:rPr>
        <w:t xml:space="preserve"> MUST</w:t>
      </w:r>
      <w:r>
        <w:rPr>
          <w:rFonts w:cs="Arial"/>
          <w:color w:val="000000"/>
          <w:sz w:val="22"/>
          <w:szCs w:val="22"/>
        </w:rPr>
        <w:t xml:space="preserve"> risk assess in situ to fulfil directly assigned ‘competent authority’ EECC obligations. (Appendix A1.3)</w:t>
      </w:r>
    </w:p>
    <w:p w14:paraId="1FE99BA8" w14:textId="77777777" w:rsidR="002B7465" w:rsidRDefault="002B7465">
      <w:pPr>
        <w:spacing w:line="288" w:lineRule="auto"/>
        <w:ind w:left="720"/>
        <w:rPr>
          <w:rFonts w:cs="Arial" w:hint="eastAsia"/>
          <w:color w:val="000000"/>
        </w:rPr>
      </w:pPr>
    </w:p>
    <w:p w14:paraId="1D984E1F" w14:textId="441C9B04" w:rsidR="002B7465" w:rsidRPr="008446CD" w:rsidRDefault="00000000" w:rsidP="00962878">
      <w:pPr>
        <w:numPr>
          <w:ilvl w:val="0"/>
          <w:numId w:val="4"/>
        </w:numPr>
        <w:spacing w:line="288" w:lineRule="auto"/>
        <w:rPr>
          <w:rFonts w:hint="eastAsia"/>
          <w:sz w:val="22"/>
          <w:szCs w:val="22"/>
        </w:rPr>
      </w:pPr>
      <w:r>
        <w:rPr>
          <w:rFonts w:cs="Arial"/>
          <w:color w:val="000000"/>
          <w:sz w:val="22"/>
          <w:szCs w:val="22"/>
        </w:rPr>
        <w:t>LPA</w:t>
      </w:r>
      <w:r>
        <w:rPr>
          <w:rFonts w:cs="Arial"/>
          <w:i/>
          <w:iCs/>
          <w:color w:val="000000"/>
          <w:sz w:val="22"/>
          <w:szCs w:val="22"/>
        </w:rPr>
        <w:t xml:space="preserve">s </w:t>
      </w:r>
      <w:r>
        <w:rPr>
          <w:rFonts w:cs="Arial"/>
          <w:b/>
          <w:bCs/>
          <w:i/>
          <w:iCs/>
          <w:color w:val="000000"/>
          <w:sz w:val="22"/>
          <w:szCs w:val="22"/>
        </w:rPr>
        <w:t>CAN</w:t>
      </w:r>
      <w:r>
        <w:rPr>
          <w:rFonts w:cs="Arial"/>
          <w:color w:val="000000"/>
          <w:sz w:val="22"/>
          <w:szCs w:val="22"/>
        </w:rPr>
        <w:t xml:space="preserve"> lawfully refuse this mast application on health grounds.</w:t>
      </w:r>
      <w:r>
        <w:rPr>
          <w:rFonts w:cs="Arial"/>
          <w:i/>
          <w:iCs/>
          <w:color w:val="000000"/>
          <w:sz w:val="22"/>
          <w:szCs w:val="22"/>
        </w:rPr>
        <w:t xml:space="preserve">   </w:t>
      </w:r>
      <w:r w:rsidRPr="008446CD">
        <w:rPr>
          <w:rFonts w:cs="Arial"/>
          <w:color w:val="000000"/>
          <w:sz w:val="22"/>
          <w:szCs w:val="22"/>
        </w:rPr>
        <w:t xml:space="preserve">Mendip Planning Board refused a 5G monopole in a semi-industrial location in March 2022 on the grounds that ‘there is not enough evidence of safety to proceed’ after weighing all the information made available to them by objectors.  </w:t>
      </w:r>
      <w:r w:rsidRPr="008446CD">
        <w:rPr>
          <w:rFonts w:cs="Arial"/>
          <w:b/>
          <w:bCs/>
          <w:color w:val="000000"/>
          <w:sz w:val="22"/>
          <w:szCs w:val="22"/>
        </w:rPr>
        <w:t>2021/1951/FUL</w:t>
      </w:r>
    </w:p>
    <w:p w14:paraId="76F9B03C" w14:textId="77777777" w:rsidR="002B7465" w:rsidRDefault="002B7465">
      <w:pPr>
        <w:spacing w:line="288" w:lineRule="auto"/>
        <w:ind w:left="720"/>
        <w:rPr>
          <w:rFonts w:cs="Arial" w:hint="eastAsia"/>
          <w:b/>
          <w:bCs/>
          <w:i/>
          <w:iCs/>
          <w:color w:val="000000"/>
        </w:rPr>
      </w:pPr>
    </w:p>
    <w:p w14:paraId="63EAD7BE" w14:textId="77777777" w:rsidR="002B7465" w:rsidRDefault="00000000">
      <w:pPr>
        <w:numPr>
          <w:ilvl w:val="0"/>
          <w:numId w:val="4"/>
        </w:numPr>
        <w:spacing w:line="288" w:lineRule="auto"/>
        <w:rPr>
          <w:rFonts w:hint="eastAsia"/>
          <w:sz w:val="22"/>
          <w:szCs w:val="22"/>
        </w:rPr>
      </w:pPr>
      <w:r>
        <w:rPr>
          <w:rFonts w:cs="Arial"/>
          <w:b/>
          <w:bCs/>
          <w:i/>
          <w:iCs/>
          <w:color w:val="000000"/>
          <w:sz w:val="22"/>
          <w:szCs w:val="22"/>
        </w:rPr>
        <w:t xml:space="preserve">LPAs have an independent obligation to establish the extent of their jurisdiction as a competent authority under the EECC. </w:t>
      </w:r>
    </w:p>
    <w:p w14:paraId="5D545116" w14:textId="77777777" w:rsidR="002B7465" w:rsidRDefault="002B7465">
      <w:pPr>
        <w:spacing w:line="288" w:lineRule="auto"/>
        <w:ind w:left="720"/>
        <w:rPr>
          <w:rFonts w:hint="eastAsia"/>
          <w:sz w:val="22"/>
          <w:szCs w:val="22"/>
        </w:rPr>
      </w:pPr>
    </w:p>
    <w:p w14:paraId="4EE16083" w14:textId="2C6D235C" w:rsidR="002B7465" w:rsidRDefault="00000000">
      <w:pPr>
        <w:spacing w:line="288" w:lineRule="auto"/>
        <w:rPr>
          <w:rFonts w:cs="Arial" w:hint="eastAsia"/>
          <w:color w:val="000000"/>
        </w:rPr>
      </w:pPr>
      <w:r>
        <w:rPr>
          <w:rFonts w:cs="Arial"/>
          <w:color w:val="000000"/>
          <w:sz w:val="22"/>
          <w:szCs w:val="22"/>
        </w:rPr>
        <w:t>Despite the restrictive wording of NPPF Policy 122:</w:t>
      </w:r>
    </w:p>
    <w:p w14:paraId="3ADDDE2F" w14:textId="3DE647DF" w:rsidR="002B7465" w:rsidRDefault="00000000">
      <w:pPr>
        <w:spacing w:line="288" w:lineRule="auto"/>
        <w:rPr>
          <w:rFonts w:hint="eastAsia"/>
          <w:sz w:val="22"/>
          <w:szCs w:val="22"/>
        </w:rPr>
      </w:pPr>
      <w:r>
        <w:rPr>
          <w:rFonts w:cs="Arial"/>
          <w:color w:val="000000"/>
          <w:sz w:val="22"/>
          <w:szCs w:val="22"/>
        </w:rPr>
        <w:t xml:space="preserve"> ‘</w:t>
      </w:r>
      <w:r>
        <w:rPr>
          <w:rFonts w:cs="Arial"/>
          <w:i/>
          <w:iCs/>
          <w:color w:val="000000"/>
          <w:sz w:val="22"/>
          <w:szCs w:val="22"/>
        </w:rPr>
        <w:t>Local planning authorities must determine applications on planning grounds only.  They should not seek to prevent competition between different operators, question the need for an electronic communications system, or</w:t>
      </w:r>
      <w:r>
        <w:rPr>
          <w:rFonts w:cs="Arial"/>
          <w:b/>
          <w:bCs/>
          <w:i/>
          <w:iCs/>
          <w:color w:val="000000"/>
          <w:sz w:val="22"/>
          <w:szCs w:val="22"/>
        </w:rPr>
        <w:t xml:space="preserve"> set health safeguards different from the International Commission guidelines for public exposure</w:t>
      </w:r>
      <w:r>
        <w:rPr>
          <w:rFonts w:cs="Arial"/>
          <w:b/>
          <w:bCs/>
          <w:color w:val="000000"/>
          <w:sz w:val="22"/>
          <w:szCs w:val="22"/>
        </w:rPr>
        <w:t xml:space="preserve">.’ </w:t>
      </w:r>
      <w:r>
        <w:rPr>
          <w:rFonts w:cs="Arial"/>
          <w:color w:val="000000"/>
          <w:sz w:val="22"/>
          <w:szCs w:val="22"/>
        </w:rPr>
        <w:t xml:space="preserve">The submission discusses the implications of the Wright Case, concluding that </w:t>
      </w:r>
      <w:r w:rsidRPr="008446CD">
        <w:rPr>
          <w:rFonts w:cs="Arial"/>
          <w:b/>
          <w:bCs/>
          <w:color w:val="000000"/>
          <w:sz w:val="22"/>
          <w:szCs w:val="22"/>
        </w:rPr>
        <w:t>n</w:t>
      </w:r>
      <w:r w:rsidRPr="00962878">
        <w:rPr>
          <w:rFonts w:cs="Arial" w:hint="eastAsia"/>
          <w:b/>
          <w:bCs/>
          <w:color w:val="000000"/>
          <w:sz w:val="22"/>
          <w:szCs w:val="22"/>
        </w:rPr>
        <w:t>o single policy</w:t>
      </w:r>
      <w:r>
        <w:rPr>
          <w:rFonts w:cs="Arial"/>
          <w:color w:val="000000"/>
          <w:sz w:val="22"/>
          <w:szCs w:val="22"/>
        </w:rPr>
        <w:t xml:space="preserve"> can be considered definitive (see Appendix A1.2 EECC </w:t>
      </w:r>
      <w:proofErr w:type="gramStart"/>
      <w:r>
        <w:rPr>
          <w:rFonts w:cs="Arial"/>
          <w:color w:val="000000"/>
          <w:sz w:val="22"/>
          <w:szCs w:val="22"/>
        </w:rPr>
        <w:t>submission,  Remedy</w:t>
      </w:r>
      <w:proofErr w:type="gramEnd"/>
      <w:r>
        <w:rPr>
          <w:rFonts w:cs="Arial"/>
          <w:color w:val="000000"/>
          <w:sz w:val="22"/>
          <w:szCs w:val="22"/>
        </w:rPr>
        <w:t xml:space="preserve"> 4 page 37) so:</w:t>
      </w:r>
    </w:p>
    <w:p w14:paraId="750E3EF6" w14:textId="77777777" w:rsidR="002B7465" w:rsidRDefault="002B7465">
      <w:pPr>
        <w:spacing w:line="288" w:lineRule="auto"/>
        <w:rPr>
          <w:rFonts w:cs="Arial" w:hint="eastAsia"/>
        </w:rPr>
      </w:pPr>
    </w:p>
    <w:p w14:paraId="3E925422" w14:textId="4660055C" w:rsidR="002B7465" w:rsidRDefault="00000000">
      <w:pPr>
        <w:pStyle w:val="Heading2"/>
        <w:spacing w:before="0" w:after="0" w:line="288" w:lineRule="auto"/>
        <w:rPr>
          <w:rFonts w:hint="eastAsia"/>
          <w:color w:val="2A6099"/>
          <w:sz w:val="24"/>
          <w:szCs w:val="24"/>
        </w:rPr>
      </w:pPr>
      <w:bookmarkStart w:id="5" w:name="__RefHeading___Toc6533_2626648583"/>
      <w:bookmarkEnd w:id="5"/>
      <w:r>
        <w:rPr>
          <w:color w:val="2A6099"/>
          <w:sz w:val="24"/>
          <w:szCs w:val="24"/>
        </w:rPr>
        <w:t>PLEASE RISK RECONCILE THE HEALTH AND ENVIRONMENTAL EFFECTS TAKING FULLY INTO ACCOUNT:</w:t>
      </w:r>
    </w:p>
    <w:p w14:paraId="0EB2846E" w14:textId="77777777" w:rsidR="002B7465" w:rsidRDefault="002B7465">
      <w:pPr>
        <w:spacing w:line="288" w:lineRule="auto"/>
        <w:rPr>
          <w:rFonts w:eastAsia="Microsoft YaHei" w:hint="eastAsia"/>
          <w:b/>
          <w:bCs/>
          <w:color w:val="2A6099"/>
        </w:rPr>
      </w:pPr>
    </w:p>
    <w:p w14:paraId="718F2EE6" w14:textId="6CBA81F8" w:rsidR="002B7465" w:rsidRDefault="00000000">
      <w:pPr>
        <w:numPr>
          <w:ilvl w:val="0"/>
          <w:numId w:val="6"/>
        </w:numPr>
        <w:spacing w:line="288" w:lineRule="auto"/>
        <w:rPr>
          <w:rFonts w:cs="Arial" w:hint="eastAsia"/>
          <w:color w:val="000000"/>
          <w:sz w:val="22"/>
          <w:szCs w:val="22"/>
        </w:rPr>
      </w:pPr>
      <w:r>
        <w:rPr>
          <w:rFonts w:cs="Arial"/>
          <w:color w:val="000000"/>
          <w:sz w:val="22"/>
          <w:szCs w:val="22"/>
        </w:rPr>
        <w:t xml:space="preserve">The July 2023 Luxembourg Institute of Science and Technology (LIST) paper explores the difficulty of accurately measuring 5G radiation due to </w:t>
      </w:r>
      <w:proofErr w:type="spellStart"/>
      <w:r>
        <w:rPr>
          <w:rFonts w:cs="Arial"/>
          <w:color w:val="000000"/>
          <w:sz w:val="22"/>
          <w:szCs w:val="22"/>
        </w:rPr>
        <w:t>it’s</w:t>
      </w:r>
      <w:proofErr w:type="spellEnd"/>
      <w:r>
        <w:rPr>
          <w:rFonts w:cs="Arial"/>
          <w:color w:val="000000"/>
          <w:sz w:val="22"/>
          <w:szCs w:val="22"/>
        </w:rPr>
        <w:t xml:space="preserve"> more dynamic nature as compared to 4G. The report specifically states that the </w:t>
      </w:r>
      <w:r>
        <w:rPr>
          <w:rFonts w:cs="Arial"/>
          <w:b/>
          <w:bCs/>
          <w:color w:val="000000"/>
          <w:sz w:val="22"/>
          <w:szCs w:val="22"/>
        </w:rPr>
        <w:t>Ofcom’s ‘</w:t>
      </w:r>
      <w:bookmarkStart w:id="6" w:name="skip"/>
      <w:bookmarkEnd w:id="6"/>
      <w:r>
        <w:rPr>
          <w:rFonts w:cs="Arial"/>
          <w:b/>
          <w:bCs/>
          <w:color w:val="000000"/>
          <w:sz w:val="22"/>
          <w:szCs w:val="22"/>
        </w:rPr>
        <w:t>Electromagnetic field measurements near mobile base stations’ are ‘experimental</w:t>
      </w:r>
      <w:r>
        <w:rPr>
          <w:rFonts w:cs="Arial"/>
          <w:color w:val="000000"/>
          <w:sz w:val="22"/>
          <w:szCs w:val="22"/>
        </w:rPr>
        <w:t>’. Please include this fact in your risk assessment and apply precaution - if a pollutant cannot be measured then logically precaution should apply. (Appendix</w:t>
      </w:r>
      <w:r>
        <w:rPr>
          <w:rFonts w:cs="Arial"/>
          <w:i/>
          <w:iCs/>
          <w:color w:val="000000"/>
          <w:sz w:val="22"/>
          <w:szCs w:val="22"/>
        </w:rPr>
        <w:t xml:space="preserve"> A2.12).</w:t>
      </w:r>
    </w:p>
    <w:p w14:paraId="35065929" w14:textId="77777777" w:rsidR="002B7465" w:rsidRDefault="002B7465" w:rsidP="00962878">
      <w:pPr>
        <w:spacing w:line="288" w:lineRule="auto"/>
        <w:ind w:left="720"/>
        <w:rPr>
          <w:rFonts w:cs="Arial" w:hint="eastAsia"/>
          <w:color w:val="000000"/>
          <w:sz w:val="22"/>
          <w:szCs w:val="22"/>
        </w:rPr>
      </w:pPr>
    </w:p>
    <w:p w14:paraId="4F973BAE" w14:textId="77777777" w:rsidR="002B7465" w:rsidRDefault="00000000">
      <w:pPr>
        <w:numPr>
          <w:ilvl w:val="0"/>
          <w:numId w:val="6"/>
        </w:numPr>
        <w:spacing w:line="288" w:lineRule="auto"/>
        <w:rPr>
          <w:rFonts w:hint="eastAsia"/>
          <w:sz w:val="22"/>
          <w:szCs w:val="22"/>
        </w:rPr>
      </w:pPr>
      <w:r>
        <w:rPr>
          <w:sz w:val="22"/>
          <w:szCs w:val="22"/>
        </w:rPr>
        <w:t>Increased connectivity can be achieved by</w:t>
      </w:r>
      <w:r>
        <w:rPr>
          <w:b/>
          <w:bCs/>
          <w:sz w:val="22"/>
          <w:szCs w:val="22"/>
        </w:rPr>
        <w:t xml:space="preserve"> fibre which is a safe alternative.</w:t>
      </w:r>
    </w:p>
    <w:p w14:paraId="77D96E7B" w14:textId="77777777" w:rsidR="002B7465" w:rsidRDefault="002B7465" w:rsidP="00962878">
      <w:pPr>
        <w:spacing w:line="288" w:lineRule="auto"/>
        <w:rPr>
          <w:rFonts w:hint="eastAsia"/>
          <w:sz w:val="22"/>
          <w:szCs w:val="22"/>
        </w:rPr>
      </w:pPr>
    </w:p>
    <w:p w14:paraId="6B705094" w14:textId="4A190858" w:rsidR="002B7465" w:rsidRDefault="00000000">
      <w:pPr>
        <w:numPr>
          <w:ilvl w:val="0"/>
          <w:numId w:val="6"/>
        </w:numPr>
        <w:spacing w:line="288" w:lineRule="auto"/>
        <w:rPr>
          <w:rFonts w:cs="Arial" w:hint="eastAsia"/>
          <w:color w:val="000000"/>
          <w:sz w:val="22"/>
          <w:szCs w:val="22"/>
        </w:rPr>
      </w:pPr>
      <w:r>
        <w:rPr>
          <w:rFonts w:cs="Arial"/>
          <w:b/>
          <w:bCs/>
          <w:color w:val="000000"/>
          <w:sz w:val="22"/>
          <w:szCs w:val="22"/>
        </w:rPr>
        <w:t xml:space="preserve">Scientific evidence invalidates health assumptions underlying the ICNIRP exposure limit determinations for radiofrequency radiation, and there are implications for 5G. </w:t>
      </w:r>
      <w:r>
        <w:rPr>
          <w:rFonts w:cs="Arial"/>
          <w:color w:val="000000"/>
          <w:sz w:val="22"/>
          <w:szCs w:val="22"/>
        </w:rPr>
        <w:t xml:space="preserve">There is a sensory </w:t>
      </w:r>
      <w:r>
        <w:rPr>
          <w:rFonts w:cs="Arial"/>
          <w:b/>
          <w:bCs/>
          <w:color w:val="000000"/>
          <w:sz w:val="22"/>
          <w:szCs w:val="22"/>
        </w:rPr>
        <w:t>auditory exposure limit</w:t>
      </w:r>
      <w:r>
        <w:rPr>
          <w:rFonts w:cs="Arial"/>
          <w:color w:val="000000"/>
          <w:sz w:val="22"/>
          <w:szCs w:val="22"/>
        </w:rPr>
        <w:t xml:space="preserve"> </w:t>
      </w:r>
      <w:proofErr w:type="gramStart"/>
      <w:r>
        <w:rPr>
          <w:rFonts w:cs="Arial"/>
          <w:color w:val="000000"/>
          <w:sz w:val="22"/>
          <w:szCs w:val="22"/>
        </w:rPr>
        <w:t>within  ICNIRP</w:t>
      </w:r>
      <w:proofErr w:type="gramEnd"/>
      <w:r>
        <w:rPr>
          <w:rFonts w:cs="Arial"/>
          <w:color w:val="000000"/>
          <w:sz w:val="22"/>
          <w:szCs w:val="22"/>
        </w:rPr>
        <w:t xml:space="preserve"> (1998), ICNIRP 2020 statement &amp; 1999/519/EC  to protect people from microwave hearing. Roughly</w:t>
      </w:r>
      <w:r>
        <w:rPr>
          <w:rFonts w:cs="Arial"/>
          <w:b/>
          <w:bCs/>
          <w:color w:val="000000"/>
          <w:sz w:val="22"/>
          <w:szCs w:val="22"/>
        </w:rPr>
        <w:t xml:space="preserve"> 0.5% of the basic ICNIRP exposure limit, which must be complied with.</w:t>
      </w:r>
      <w:r>
        <w:rPr>
          <w:rFonts w:cs="Arial"/>
          <w:color w:val="000000"/>
          <w:sz w:val="22"/>
          <w:szCs w:val="22"/>
        </w:rPr>
        <w:t xml:space="preserve"> (Appendix A2.14)</w:t>
      </w:r>
    </w:p>
    <w:p w14:paraId="4ED02D2F" w14:textId="77777777" w:rsidR="002B7465" w:rsidRDefault="002B7465" w:rsidP="00962878">
      <w:pPr>
        <w:spacing w:line="288" w:lineRule="auto"/>
        <w:rPr>
          <w:rFonts w:cs="Arial" w:hint="eastAsia"/>
          <w:color w:val="000000"/>
          <w:sz w:val="22"/>
          <w:szCs w:val="22"/>
        </w:rPr>
      </w:pPr>
    </w:p>
    <w:p w14:paraId="236241D0" w14:textId="77777777" w:rsidR="002B7465" w:rsidRDefault="00000000">
      <w:pPr>
        <w:pStyle w:val="Standard"/>
        <w:numPr>
          <w:ilvl w:val="0"/>
          <w:numId w:val="6"/>
        </w:numPr>
        <w:tabs>
          <w:tab w:val="clear" w:pos="720"/>
          <w:tab w:val="left" w:pos="1440"/>
        </w:tabs>
        <w:spacing w:line="288" w:lineRule="auto"/>
        <w:rPr>
          <w:rFonts w:ascii="Amiri" w:hAnsi="Amiri" w:hint="eastAsia"/>
          <w:sz w:val="22"/>
          <w:szCs w:val="22"/>
        </w:rPr>
      </w:pPr>
      <w:r>
        <w:rPr>
          <w:rFonts w:ascii="Amiri" w:hAnsi="Amiri"/>
          <w:sz w:val="22"/>
          <w:szCs w:val="22"/>
          <w:shd w:val="clear" w:color="auto" w:fill="FFFFFF"/>
        </w:rPr>
        <w:t xml:space="preserve">Those with </w:t>
      </w:r>
      <w:r>
        <w:rPr>
          <w:rFonts w:ascii="Amiri" w:hAnsi="Amiri"/>
          <w:b/>
          <w:bCs/>
          <w:sz w:val="22"/>
          <w:szCs w:val="22"/>
          <w:shd w:val="clear" w:color="auto" w:fill="FFFFFF"/>
        </w:rPr>
        <w:t>pacemakers, metal shunts, children with dental braces etc are not protected by the ICNIRP guidelines</w:t>
      </w:r>
      <w:r>
        <w:rPr>
          <w:rFonts w:ascii="Amiri" w:hAnsi="Amiri"/>
          <w:sz w:val="22"/>
          <w:szCs w:val="22"/>
          <w:shd w:val="clear" w:color="auto" w:fill="FFFFFF"/>
        </w:rPr>
        <w:t>. ICNIRP state that the effect of RFR inside the body is unpredictable when metal implants are present. Please screen for this group in your risk assessment.</w:t>
      </w:r>
    </w:p>
    <w:p w14:paraId="4F906DEA" w14:textId="77777777" w:rsidR="002B7465" w:rsidRDefault="002B7465">
      <w:pPr>
        <w:pStyle w:val="Standard"/>
        <w:tabs>
          <w:tab w:val="left" w:pos="1800"/>
        </w:tabs>
        <w:spacing w:line="288" w:lineRule="auto"/>
        <w:ind w:left="720"/>
        <w:rPr>
          <w:shd w:val="clear" w:color="auto" w:fill="FFFFFF"/>
        </w:rPr>
      </w:pPr>
    </w:p>
    <w:p w14:paraId="72D58BB6" w14:textId="3D61FE8C" w:rsidR="002B7465" w:rsidRDefault="00000000">
      <w:pPr>
        <w:pStyle w:val="Standard"/>
        <w:numPr>
          <w:ilvl w:val="0"/>
          <w:numId w:val="6"/>
        </w:numPr>
        <w:tabs>
          <w:tab w:val="clear" w:pos="720"/>
          <w:tab w:val="left" w:pos="1440"/>
        </w:tabs>
        <w:spacing w:line="288" w:lineRule="auto"/>
        <w:rPr>
          <w:rFonts w:ascii="Amiri" w:hAnsi="Amiri" w:hint="eastAsia"/>
          <w:sz w:val="22"/>
          <w:szCs w:val="22"/>
        </w:rPr>
      </w:pPr>
      <w:r>
        <w:rPr>
          <w:rFonts w:ascii="Amiri" w:hAnsi="Amiri" w:cs="Arial"/>
          <w:color w:val="000000"/>
          <w:sz w:val="22"/>
          <w:szCs w:val="22"/>
        </w:rPr>
        <w:t>An estimated</w:t>
      </w:r>
      <w:r>
        <w:rPr>
          <w:rFonts w:ascii="Amiri" w:hAnsi="Amiri" w:cs="Arial"/>
          <w:b/>
          <w:bCs/>
          <w:color w:val="000000"/>
          <w:sz w:val="22"/>
          <w:szCs w:val="22"/>
        </w:rPr>
        <w:t xml:space="preserve"> 3-5% of the population have </w:t>
      </w:r>
      <w:proofErr w:type="spellStart"/>
      <w:r>
        <w:rPr>
          <w:rFonts w:ascii="Amiri" w:hAnsi="Amiri" w:cs="Arial"/>
          <w:b/>
          <w:bCs/>
          <w:color w:val="000000"/>
          <w:sz w:val="22"/>
          <w:szCs w:val="22"/>
        </w:rPr>
        <w:t>Electrohypersensitivity</w:t>
      </w:r>
      <w:proofErr w:type="spellEnd"/>
      <w:r>
        <w:rPr>
          <w:rFonts w:ascii="Amiri" w:hAnsi="Amiri" w:cs="Arial"/>
          <w:b/>
          <w:bCs/>
          <w:color w:val="000000"/>
          <w:sz w:val="22"/>
          <w:szCs w:val="22"/>
        </w:rPr>
        <w:t>.</w:t>
      </w:r>
      <w:r>
        <w:rPr>
          <w:rFonts w:ascii="Amiri" w:hAnsi="Amiri" w:cs="Arial"/>
          <w:color w:val="000000"/>
          <w:sz w:val="22"/>
          <w:szCs w:val="22"/>
        </w:rPr>
        <w:t xml:space="preserve"> It is disingenuous for governmental bodies to keep claiming EHS is psychosomatic, as there are now legal precedents for the requirement of low EMF environments.</w:t>
      </w:r>
      <w:r>
        <w:rPr>
          <w:rFonts w:ascii="Amiri" w:hAnsi="Amiri" w:cs="Arial"/>
          <w:b/>
          <w:bCs/>
          <w:color w:val="000000"/>
          <w:sz w:val="22"/>
          <w:szCs w:val="22"/>
        </w:rPr>
        <w:t xml:space="preserve"> Please include this group in your risk assessment.</w:t>
      </w:r>
      <w:r>
        <w:rPr>
          <w:rFonts w:ascii="Amiri" w:hAnsi="Amiri" w:cs="Arial"/>
          <w:color w:val="000000"/>
          <w:sz w:val="22"/>
          <w:szCs w:val="22"/>
        </w:rPr>
        <w:t xml:space="preserve"> The screening for avoidable harm, injury, and nuisance needs to acknowledge and seek to </w:t>
      </w:r>
      <w:r>
        <w:rPr>
          <w:rFonts w:ascii="Amiri" w:hAnsi="Amiri" w:cs="Arial"/>
          <w:color w:val="000000"/>
          <w:sz w:val="22"/>
          <w:szCs w:val="22"/>
        </w:rPr>
        <w:lastRenderedPageBreak/>
        <w:t xml:space="preserve">accommodate the needs of people with EHS disability. </w:t>
      </w:r>
      <w:r>
        <w:rPr>
          <w:rFonts w:ascii="Amiri" w:hAnsi="Amiri" w:cs="Arial"/>
          <w:b/>
          <w:bCs/>
          <w:color w:val="000000"/>
          <w:sz w:val="22"/>
          <w:szCs w:val="22"/>
        </w:rPr>
        <w:t>Legal precedents have been set</w:t>
      </w:r>
      <w:r>
        <w:rPr>
          <w:rFonts w:ascii="Amiri" w:hAnsi="Amiri" w:cs="Arial"/>
          <w:color w:val="000000"/>
          <w:sz w:val="22"/>
          <w:szCs w:val="22"/>
        </w:rPr>
        <w:t xml:space="preserve"> for those with EHS (See Appendix A2.13) The proliferation of wireless radiation in Public Spaces does not comply with the </w:t>
      </w:r>
      <w:r>
        <w:rPr>
          <w:rFonts w:ascii="Amiri" w:hAnsi="Amiri" w:cs="Arial"/>
          <w:b/>
          <w:bCs/>
          <w:color w:val="000000"/>
          <w:sz w:val="22"/>
          <w:szCs w:val="22"/>
        </w:rPr>
        <w:t>2010 Equalities Act,</w:t>
      </w:r>
      <w:r>
        <w:rPr>
          <w:rFonts w:ascii="Amiri" w:hAnsi="Amiri" w:cs="Arial"/>
          <w:color w:val="000000"/>
          <w:sz w:val="22"/>
          <w:szCs w:val="22"/>
        </w:rPr>
        <w:t xml:space="preserve"> nor does it comply with UK Inclusion Policy.</w:t>
      </w:r>
      <w:r>
        <w:rPr>
          <w:rFonts w:ascii="Amiri" w:hAnsi="Amiri" w:cs="Arial"/>
          <w:color w:val="000000"/>
          <w:sz w:val="22"/>
          <w:szCs w:val="22"/>
          <w:shd w:val="clear" w:color="auto" w:fill="FFFFFF"/>
        </w:rPr>
        <w:t> </w:t>
      </w:r>
    </w:p>
    <w:p w14:paraId="055DBFEE" w14:textId="77777777" w:rsidR="002B7465" w:rsidRDefault="002B7465">
      <w:pPr>
        <w:pStyle w:val="Standard"/>
        <w:tabs>
          <w:tab w:val="left" w:pos="1800"/>
        </w:tabs>
        <w:spacing w:line="288" w:lineRule="auto"/>
        <w:ind w:left="720"/>
        <w:rPr>
          <w:rStyle w:val="Hyperlink"/>
          <w:rFonts w:ascii="Amiri" w:hAnsi="Amiri" w:hint="eastAsia"/>
          <w:sz w:val="22"/>
          <w:szCs w:val="22"/>
          <w:shd w:val="clear" w:color="auto" w:fill="FFFFFF"/>
        </w:rPr>
      </w:pPr>
    </w:p>
    <w:p w14:paraId="7898B5D8" w14:textId="77777777" w:rsidR="002B7465" w:rsidRDefault="00000000">
      <w:pPr>
        <w:numPr>
          <w:ilvl w:val="0"/>
          <w:numId w:val="6"/>
        </w:numPr>
        <w:spacing w:line="288" w:lineRule="auto"/>
        <w:rPr>
          <w:rFonts w:cs="Arial" w:hint="eastAsia"/>
          <w:color w:val="000000"/>
          <w:sz w:val="22"/>
          <w:szCs w:val="22"/>
        </w:rPr>
      </w:pPr>
      <w:r>
        <w:rPr>
          <w:rFonts w:cs="Arial"/>
          <w:b/>
          <w:bCs/>
          <w:color w:val="000000"/>
          <w:sz w:val="22"/>
          <w:szCs w:val="22"/>
        </w:rPr>
        <w:t xml:space="preserve">ICNIRP do not set exposure guideline limits for flora and fauna. </w:t>
      </w:r>
    </w:p>
    <w:p w14:paraId="15851C01" w14:textId="0A7DADA1" w:rsidR="002B7465" w:rsidRDefault="00000000">
      <w:pPr>
        <w:spacing w:line="288" w:lineRule="auto"/>
        <w:ind w:left="720"/>
        <w:rPr>
          <w:rFonts w:cs="Arial"/>
          <w:color w:val="000000"/>
          <w:sz w:val="22"/>
          <w:szCs w:val="22"/>
          <w:shd w:val="clear" w:color="auto" w:fill="FFFFFF"/>
        </w:rPr>
      </w:pPr>
      <w:r>
        <w:rPr>
          <w:rFonts w:cs="Arial"/>
          <w:color w:val="000000"/>
          <w:sz w:val="22"/>
          <w:szCs w:val="22"/>
        </w:rPr>
        <w:t xml:space="preserve">There is growing evidence of harmful effects to both plant and animal life that depend on Earth’s magnetic field for navigation, breeding, food, migration and indeed survival. Recently reported research shows current levels of artificial radiation are already interfering with these biological processes. Please include the research from </w:t>
      </w:r>
      <w:proofErr w:type="gramStart"/>
      <w:r>
        <w:rPr>
          <w:rFonts w:cs="Arial"/>
          <w:color w:val="000000"/>
          <w:sz w:val="22"/>
          <w:szCs w:val="22"/>
        </w:rPr>
        <w:t>the  International</w:t>
      </w:r>
      <w:proofErr w:type="gramEnd"/>
      <w:r>
        <w:rPr>
          <w:rFonts w:cs="Arial"/>
          <w:color w:val="000000"/>
          <w:sz w:val="22"/>
          <w:szCs w:val="22"/>
        </w:rPr>
        <w:t xml:space="preserve"> Commission of Biological Effects ICBE-EMF paper in your risk assessment of environmental effects and in relation to </w:t>
      </w:r>
      <w:r>
        <w:rPr>
          <w:rFonts w:cs="Arial"/>
          <w:color w:val="000000"/>
          <w:sz w:val="22"/>
          <w:szCs w:val="22"/>
          <w:shd w:val="clear" w:color="auto" w:fill="FFFFFF"/>
        </w:rPr>
        <w:t>NPPF 185 (179) and 186 (180) "</w:t>
      </w:r>
      <w:r>
        <w:rPr>
          <w:rFonts w:cs="Arial"/>
          <w:i/>
          <w:iCs/>
          <w:color w:val="000000"/>
          <w:sz w:val="22"/>
          <w:szCs w:val="22"/>
          <w:shd w:val="clear" w:color="auto" w:fill="FFFFFF"/>
        </w:rPr>
        <w:t>development resulting in the loss or deterioration of irreplaceable habitats should be refused, unless there are wholly exceptional reasons …</w:t>
      </w:r>
      <w:r>
        <w:rPr>
          <w:rFonts w:cs="Arial"/>
          <w:color w:val="000000"/>
          <w:sz w:val="22"/>
          <w:szCs w:val="22"/>
          <w:shd w:val="clear" w:color="auto" w:fill="FFFFFF"/>
        </w:rPr>
        <w:t>" There is substantial direct evidence of population-wide insect decline related to the installation of 4G and 5G infrastructure, and 72/83 lab studies show adverse effects of RFR on insects.</w:t>
      </w:r>
    </w:p>
    <w:p w14:paraId="1A7A0F28" w14:textId="77777777" w:rsidR="00AD61FC" w:rsidRDefault="00AD61FC">
      <w:pPr>
        <w:spacing w:line="288" w:lineRule="auto"/>
        <w:ind w:left="720"/>
        <w:rPr>
          <w:rFonts w:cs="Arial" w:hint="eastAsia"/>
          <w:color w:val="000000"/>
          <w:sz w:val="22"/>
          <w:szCs w:val="22"/>
        </w:rPr>
      </w:pPr>
    </w:p>
    <w:p w14:paraId="2E9001A5" w14:textId="77777777" w:rsidR="002B7465" w:rsidRDefault="00000000">
      <w:pPr>
        <w:spacing w:line="288" w:lineRule="auto"/>
        <w:ind w:left="720"/>
        <w:rPr>
          <w:rFonts w:cs="Arial" w:hint="eastAsia"/>
          <w:i/>
          <w:iCs/>
          <w:color w:val="000000"/>
          <w:sz w:val="22"/>
          <w:szCs w:val="22"/>
          <w:shd w:val="clear" w:color="auto" w:fill="FFFFFF"/>
        </w:rPr>
      </w:pPr>
      <w:r>
        <w:rPr>
          <w:rFonts w:cs="Arial"/>
          <w:color w:val="000000"/>
          <w:sz w:val="22"/>
          <w:szCs w:val="22"/>
          <w:shd w:val="clear" w:color="auto" w:fill="FFFFFF"/>
        </w:rPr>
        <w:t xml:space="preserve">Please consider that many urban species including the House Sparrow and the Starling are protected by </w:t>
      </w:r>
      <w:r>
        <w:rPr>
          <w:rFonts w:cs="Arial"/>
          <w:b/>
          <w:bCs/>
          <w:color w:val="000000"/>
          <w:sz w:val="22"/>
          <w:szCs w:val="22"/>
          <w:shd w:val="clear" w:color="auto" w:fill="FFFFFF"/>
        </w:rPr>
        <w:t xml:space="preserve">The Natural Environment and Rural Communities Act 2006 (NERC Act) </w:t>
      </w:r>
      <w:r>
        <w:rPr>
          <w:rFonts w:cs="Arial"/>
          <w:color w:val="000000"/>
          <w:sz w:val="22"/>
          <w:szCs w:val="22"/>
          <w:shd w:val="clear" w:color="auto" w:fill="FFFFFF"/>
        </w:rPr>
        <w:t xml:space="preserve">Your statutory duty set out in Section 40 of the NERC Act states that </w:t>
      </w:r>
      <w:r>
        <w:rPr>
          <w:rFonts w:cs="Arial"/>
          <w:i/>
          <w:iCs/>
          <w:color w:val="000000"/>
          <w:sz w:val="22"/>
          <w:szCs w:val="22"/>
          <w:shd w:val="clear" w:color="auto" w:fill="FFFFFF"/>
        </w:rPr>
        <w:t>"Every public authority must, in exercising its functions, have regard, so far as is consistent with the proper exercise of those functions, to the purpose of conserving biodiversity."</w:t>
      </w:r>
    </w:p>
    <w:p w14:paraId="659BE205" w14:textId="77777777" w:rsidR="002B7465" w:rsidRDefault="002B7465">
      <w:pPr>
        <w:spacing w:line="288" w:lineRule="auto"/>
        <w:ind w:left="720"/>
        <w:rPr>
          <w:rFonts w:cs="Arial" w:hint="eastAsia"/>
          <w:color w:val="000000"/>
          <w:sz w:val="22"/>
          <w:szCs w:val="22"/>
        </w:rPr>
      </w:pPr>
    </w:p>
    <w:p w14:paraId="283AB3CF" w14:textId="77777777" w:rsidR="002B7465" w:rsidRDefault="00000000">
      <w:pPr>
        <w:spacing w:line="288" w:lineRule="auto"/>
        <w:ind w:left="720"/>
        <w:rPr>
          <w:rFonts w:cs="Arial" w:hint="eastAsia"/>
          <w:sz w:val="22"/>
          <w:szCs w:val="22"/>
        </w:rPr>
      </w:pPr>
      <w:r>
        <w:rPr>
          <w:rFonts w:cs="Arial"/>
          <w:color w:val="000000"/>
          <w:sz w:val="22"/>
          <w:szCs w:val="22"/>
          <w:shd w:val="clear" w:color="auto" w:fill="FFFFFF"/>
        </w:rPr>
        <w:t>Section 41 of the Act refers to a published list of habitats and species which are of principal importance for the conservation of biodiversity in England. The Duty applies to all local authorities, community, parish and town councils, police, fire and health authorities and utility companies.  (Please see section F of the ICBE-EMF paper Evidence section 4.)</w:t>
      </w:r>
    </w:p>
    <w:p w14:paraId="6F10C571" w14:textId="77777777" w:rsidR="002B7465" w:rsidRDefault="002B7465">
      <w:pPr>
        <w:spacing w:line="288" w:lineRule="auto"/>
        <w:ind w:left="720"/>
        <w:rPr>
          <w:rFonts w:cs="Arial" w:hint="eastAsia"/>
          <w:color w:val="000000"/>
          <w:sz w:val="22"/>
          <w:szCs w:val="22"/>
        </w:rPr>
      </w:pPr>
    </w:p>
    <w:p w14:paraId="7173778F" w14:textId="127ABFED" w:rsidR="002B7465" w:rsidRDefault="00000000">
      <w:pPr>
        <w:numPr>
          <w:ilvl w:val="0"/>
          <w:numId w:val="6"/>
        </w:numPr>
        <w:spacing w:line="288" w:lineRule="auto"/>
        <w:rPr>
          <w:rFonts w:cs="Arial" w:hint="eastAsia"/>
          <w:color w:val="000000"/>
          <w:sz w:val="22"/>
          <w:szCs w:val="22"/>
        </w:rPr>
      </w:pPr>
      <w:r>
        <w:rPr>
          <w:rFonts w:cs="Arial"/>
          <w:b/>
          <w:bCs/>
          <w:color w:val="000000"/>
          <w:sz w:val="22"/>
          <w:szCs w:val="22"/>
        </w:rPr>
        <w:t>There are no ‘in situ’ studies which show 5G is safe.</w:t>
      </w:r>
      <w:r>
        <w:rPr>
          <w:rFonts w:cs="Arial"/>
          <w:color w:val="000000"/>
          <w:sz w:val="22"/>
          <w:szCs w:val="22"/>
        </w:rPr>
        <w:t xml:space="preserve"> ICNIRP claim the research included in determining the exposure guideline is adequate for 5G, but this research does not include studies of 5G in situ.  </w:t>
      </w:r>
      <w:r>
        <w:rPr>
          <w:rFonts w:cs="Arial"/>
          <w:b/>
          <w:bCs/>
          <w:color w:val="000000"/>
          <w:sz w:val="22"/>
          <w:szCs w:val="22"/>
        </w:rPr>
        <w:t xml:space="preserve">Please apply precaution according to the procedural standard within the 1999/519/EC recommendation.  </w:t>
      </w:r>
    </w:p>
    <w:p w14:paraId="75BE9E5C" w14:textId="77777777" w:rsidR="002B7465" w:rsidRDefault="002B7465">
      <w:pPr>
        <w:spacing w:line="288" w:lineRule="auto"/>
        <w:ind w:left="720"/>
        <w:rPr>
          <w:rFonts w:cs="Arial" w:hint="eastAsia"/>
          <w:color w:val="000000"/>
          <w:sz w:val="22"/>
          <w:szCs w:val="22"/>
        </w:rPr>
      </w:pPr>
    </w:p>
    <w:p w14:paraId="2CCE218A" w14:textId="6167BDB4" w:rsidR="002B7465" w:rsidRDefault="00000000">
      <w:pPr>
        <w:numPr>
          <w:ilvl w:val="0"/>
          <w:numId w:val="6"/>
        </w:numPr>
        <w:spacing w:line="288" w:lineRule="auto"/>
        <w:rPr>
          <w:rFonts w:hint="eastAsia"/>
          <w:sz w:val="22"/>
          <w:szCs w:val="22"/>
        </w:rPr>
      </w:pPr>
      <w:r>
        <w:rPr>
          <w:rFonts w:cs="Arial"/>
          <w:color w:val="000000"/>
          <w:sz w:val="22"/>
          <w:szCs w:val="22"/>
        </w:rPr>
        <w:t>The results of</w:t>
      </w:r>
      <w:r>
        <w:rPr>
          <w:rFonts w:cs="Arial"/>
          <w:b/>
          <w:bCs/>
          <w:color w:val="000000"/>
          <w:sz w:val="22"/>
          <w:szCs w:val="22"/>
        </w:rPr>
        <w:t xml:space="preserve"> the first six studies of ‘In Situ’ 5G published in 2023 recorded severe symptoms within a few days to a few weeks to residents within 5-125m.</w:t>
      </w:r>
      <w:r>
        <w:rPr>
          <w:rFonts w:cs="Arial"/>
          <w:color w:val="000000"/>
          <w:sz w:val="22"/>
          <w:szCs w:val="22"/>
        </w:rPr>
        <w:t xml:space="preserve"> (Please see the table in Appendix A2.5) Please give significant weight to this in relation to NPPF 96 (92) and 191 (185).</w:t>
      </w:r>
    </w:p>
    <w:p w14:paraId="698E2DEC" w14:textId="77777777" w:rsidR="002B7465" w:rsidRDefault="002B7465">
      <w:pPr>
        <w:spacing w:line="288" w:lineRule="auto"/>
        <w:ind w:left="720"/>
        <w:rPr>
          <w:rFonts w:cs="Arial" w:hint="eastAsia"/>
          <w:color w:val="000000"/>
        </w:rPr>
      </w:pPr>
    </w:p>
    <w:p w14:paraId="0E84ADA6" w14:textId="77777777" w:rsidR="002B7465" w:rsidRDefault="00000000">
      <w:pPr>
        <w:numPr>
          <w:ilvl w:val="0"/>
          <w:numId w:val="6"/>
        </w:numPr>
        <w:spacing w:line="288" w:lineRule="auto"/>
        <w:rPr>
          <w:rFonts w:hint="eastAsia"/>
          <w:b/>
          <w:bCs/>
          <w:sz w:val="22"/>
          <w:szCs w:val="22"/>
        </w:rPr>
      </w:pPr>
      <w:r>
        <w:rPr>
          <w:rFonts w:cs="Arial"/>
          <w:b/>
          <w:bCs/>
          <w:color w:val="000000"/>
          <w:sz w:val="22"/>
          <w:szCs w:val="22"/>
        </w:rPr>
        <w:t>Peer reviewed science fully justifies a 500m setback to protect harm injury and nuisance.</w:t>
      </w:r>
    </w:p>
    <w:p w14:paraId="130676E6" w14:textId="77777777" w:rsidR="002B7465" w:rsidRDefault="00000000">
      <w:pPr>
        <w:pStyle w:val="standard0"/>
        <w:tabs>
          <w:tab w:val="left" w:pos="1800"/>
        </w:tabs>
        <w:spacing w:before="0" w:after="0" w:line="288" w:lineRule="auto"/>
        <w:ind w:left="720"/>
        <w:rPr>
          <w:rFonts w:hint="eastAsia"/>
        </w:rPr>
      </w:pPr>
      <w:r>
        <w:rPr>
          <w:rFonts w:cs="Arial"/>
          <w:color w:val="000000"/>
          <w:sz w:val="22"/>
          <w:szCs w:val="22"/>
          <w:shd w:val="clear" w:color="auto" w:fill="FFFFFF"/>
        </w:rPr>
        <w:t xml:space="preserve">Costs of £13k were awarded against Brighton and Hove City council in Nov 2021 when </w:t>
      </w:r>
      <w:r>
        <w:rPr>
          <w:rFonts w:cs="Arial"/>
          <w:color w:val="000000"/>
          <w:sz w:val="22"/>
          <w:szCs w:val="22"/>
        </w:rPr>
        <w:t>they failed to address the health impacts of a proposed mast and to obtain adequate evidence of the assessment of the proximity of the mast to the school and the amended proposal. (Consent order 4/11/2021). Ref</w:t>
      </w:r>
      <w:r>
        <w:rPr>
          <w:rStyle w:val="apple-converted-space"/>
          <w:rFonts w:cs="Arial"/>
          <w:color w:val="000000"/>
          <w:sz w:val="22"/>
          <w:szCs w:val="22"/>
          <w:lang w:bidi="ar-SA"/>
        </w:rPr>
        <w:t xml:space="preserve"> </w:t>
      </w:r>
      <w:r>
        <w:rPr>
          <w:rFonts w:cs="Arial"/>
          <w:color w:val="000000"/>
          <w:sz w:val="22"/>
          <w:szCs w:val="22"/>
        </w:rPr>
        <w:t>BH2021/01639.</w:t>
      </w:r>
    </w:p>
    <w:p w14:paraId="7A0C14DE" w14:textId="77777777" w:rsidR="002B7465" w:rsidRDefault="002B7465">
      <w:pPr>
        <w:pStyle w:val="Standard"/>
        <w:tabs>
          <w:tab w:val="left" w:pos="1440"/>
        </w:tabs>
        <w:spacing w:line="288" w:lineRule="auto"/>
        <w:ind w:left="720"/>
        <w:rPr>
          <w:rFonts w:cs="Arial"/>
          <w:b/>
          <w:bCs/>
          <w:color w:val="000000"/>
        </w:rPr>
      </w:pPr>
    </w:p>
    <w:p w14:paraId="3C897525" w14:textId="77777777" w:rsidR="002B7465" w:rsidRDefault="00000000">
      <w:pPr>
        <w:pStyle w:val="Standard"/>
        <w:numPr>
          <w:ilvl w:val="0"/>
          <w:numId w:val="6"/>
        </w:numPr>
        <w:tabs>
          <w:tab w:val="left" w:pos="720"/>
        </w:tabs>
        <w:spacing w:line="288" w:lineRule="auto"/>
        <w:rPr>
          <w:rFonts w:ascii="Amiri" w:hAnsi="Amiri" w:hint="eastAsia"/>
          <w:sz w:val="22"/>
          <w:szCs w:val="22"/>
        </w:rPr>
      </w:pPr>
      <w:r>
        <w:rPr>
          <w:rFonts w:ascii="Amiri" w:hAnsi="Amiri" w:cs="Arial"/>
          <w:color w:val="000000"/>
          <w:sz w:val="22"/>
          <w:szCs w:val="22"/>
        </w:rPr>
        <w:t>Schools are consulted during the planning application process, but</w:t>
      </w:r>
      <w:r>
        <w:rPr>
          <w:rFonts w:ascii="Amiri" w:hAnsi="Amiri" w:cs="Arial"/>
          <w:b/>
          <w:bCs/>
          <w:color w:val="000000"/>
          <w:sz w:val="22"/>
          <w:szCs w:val="22"/>
        </w:rPr>
        <w:t xml:space="preserve"> children are equally vulnerable in their homes, as are pregnant women and pre-school children. </w:t>
      </w:r>
    </w:p>
    <w:p w14:paraId="005FE6E2" w14:textId="77777777" w:rsidR="002B7465" w:rsidRDefault="002B7465">
      <w:pPr>
        <w:pStyle w:val="Standard"/>
        <w:tabs>
          <w:tab w:val="left" w:pos="1440"/>
        </w:tabs>
        <w:spacing w:line="288" w:lineRule="auto"/>
        <w:ind w:left="720"/>
        <w:rPr>
          <w:rFonts w:cs="Arial"/>
          <w:color w:val="000000"/>
        </w:rPr>
      </w:pPr>
    </w:p>
    <w:p w14:paraId="7A2928CA" w14:textId="77777777" w:rsidR="002B7465" w:rsidRDefault="00000000">
      <w:pPr>
        <w:numPr>
          <w:ilvl w:val="0"/>
          <w:numId w:val="6"/>
        </w:numPr>
        <w:spacing w:line="288" w:lineRule="auto"/>
        <w:rPr>
          <w:rFonts w:cs="Arial" w:hint="eastAsia"/>
          <w:color w:val="000000"/>
          <w:sz w:val="22"/>
          <w:szCs w:val="22"/>
        </w:rPr>
      </w:pPr>
      <w:r>
        <w:rPr>
          <w:rFonts w:cs="Arial"/>
          <w:color w:val="000000"/>
          <w:sz w:val="22"/>
          <w:szCs w:val="22"/>
        </w:rPr>
        <w:t xml:space="preserve">The ICNIRP guidelines are just guidelines for exposures from a single source, the guideline does not include cumulative effects from </w:t>
      </w:r>
      <w:r>
        <w:rPr>
          <w:rFonts w:cs="Arial"/>
          <w:b/>
          <w:bCs/>
          <w:color w:val="000000"/>
          <w:sz w:val="22"/>
          <w:szCs w:val="22"/>
        </w:rPr>
        <w:t xml:space="preserve">multiple sources using different frequencies 24/7 </w:t>
      </w:r>
      <w:r>
        <w:rPr>
          <w:rFonts w:cs="Arial"/>
          <w:color w:val="000000"/>
          <w:sz w:val="22"/>
          <w:szCs w:val="22"/>
        </w:rPr>
        <w:t xml:space="preserve">over the long term. Supporting literature provided with this application may explain that emissions from nearby masts and 24/7 emissions have been included when calculating the ICNIRP compliance exclusion </w:t>
      </w:r>
      <w:r>
        <w:rPr>
          <w:rFonts w:cs="Arial"/>
          <w:color w:val="000000"/>
          <w:sz w:val="22"/>
          <w:szCs w:val="22"/>
        </w:rPr>
        <w:lastRenderedPageBreak/>
        <w:t xml:space="preserve">zones but this does </w:t>
      </w:r>
      <w:r>
        <w:rPr>
          <w:rFonts w:cs="Arial"/>
          <w:b/>
          <w:bCs/>
          <w:color w:val="000000"/>
          <w:sz w:val="22"/>
          <w:szCs w:val="22"/>
        </w:rPr>
        <w:t xml:space="preserve">not amount to an adequate risk assessment of the cumulative effects. </w:t>
      </w:r>
      <w:r>
        <w:rPr>
          <w:rFonts w:cs="Arial"/>
          <w:color w:val="000000"/>
          <w:sz w:val="22"/>
          <w:szCs w:val="22"/>
        </w:rPr>
        <w:t xml:space="preserve">NPPF policy 121b (117b). NPPF 96 (92) and 191 (185). </w:t>
      </w:r>
    </w:p>
    <w:p w14:paraId="180ED289" w14:textId="77777777" w:rsidR="002B7465" w:rsidRDefault="002B7465" w:rsidP="00962878">
      <w:pPr>
        <w:spacing w:line="288" w:lineRule="auto"/>
        <w:rPr>
          <w:rFonts w:cs="Arial" w:hint="eastAsia"/>
          <w:color w:val="000000"/>
          <w:sz w:val="22"/>
          <w:szCs w:val="22"/>
        </w:rPr>
      </w:pPr>
    </w:p>
    <w:p w14:paraId="0BAF8B18" w14:textId="63E59900" w:rsidR="002B7465" w:rsidRDefault="00000000">
      <w:pPr>
        <w:numPr>
          <w:ilvl w:val="0"/>
          <w:numId w:val="6"/>
        </w:numPr>
        <w:spacing w:line="288" w:lineRule="auto"/>
        <w:rPr>
          <w:rFonts w:ascii="Calibri" w:hAnsi="Calibri"/>
          <w:sz w:val="22"/>
          <w:szCs w:val="22"/>
        </w:rPr>
      </w:pPr>
      <w:r>
        <w:rPr>
          <w:rFonts w:cs="Arial"/>
          <w:color w:val="000000"/>
          <w:sz w:val="22"/>
          <w:szCs w:val="22"/>
        </w:rPr>
        <w:t xml:space="preserve">Thousands of research papers which demonstrate harm from 3G and 4G via non-thermal effects with identified mechanisms of harm, </w:t>
      </w:r>
      <w:proofErr w:type="spellStart"/>
      <w:r>
        <w:rPr>
          <w:rFonts w:cs="Arial"/>
          <w:color w:val="000000"/>
          <w:sz w:val="22"/>
          <w:szCs w:val="22"/>
        </w:rPr>
        <w:t>e.g</w:t>
      </w:r>
      <w:proofErr w:type="spellEnd"/>
      <w:r>
        <w:rPr>
          <w:rFonts w:cs="Arial"/>
          <w:color w:val="000000"/>
          <w:sz w:val="22"/>
          <w:szCs w:val="22"/>
        </w:rPr>
        <w:t xml:space="preserve"> oxidative stress, are not represented in the ICNIRP guidelines. (Please see ICBE-EMF paper Appendix A2.14). </w:t>
      </w:r>
      <w:r>
        <w:rPr>
          <w:rFonts w:eastAsia="Arial Unicode MS" w:cs="Arial Unicode MS"/>
          <w:color w:val="000000"/>
          <w:sz w:val="22"/>
          <w:szCs w:val="22"/>
          <w:shd w:val="clear" w:color="auto" w:fill="FFFFFF"/>
        </w:rPr>
        <w:t xml:space="preserve">Nerve stimulation by the low frequency wave component of 5G has not been accounted for in the ICNIRP guidelines. There is an established mechanism of harm from wireless radiation, namely oxidative stress. </w:t>
      </w:r>
      <w:hyperlink r:id="rId5">
        <w:r>
          <w:rPr>
            <w:rStyle w:val="Hyperlink"/>
            <w:rFonts w:eastAsia="Arial Unicode MS" w:cs="Arial Unicode MS"/>
            <w:sz w:val="22"/>
            <w:szCs w:val="22"/>
            <w:shd w:val="clear" w:color="auto" w:fill="FFFFFF"/>
          </w:rPr>
          <w:t>https://pubmed.ncbi.nlm.nih.gov/35751553/</w:t>
        </w:r>
      </w:hyperlink>
      <w:r>
        <w:rPr>
          <w:rStyle w:val="Hyperlink"/>
          <w:rFonts w:eastAsia="Arial Unicode MS" w:cs="Arial Unicode MS"/>
          <w:sz w:val="22"/>
          <w:szCs w:val="22"/>
          <w:shd w:val="clear" w:color="auto" w:fill="FFFFFF"/>
        </w:rPr>
        <w:t xml:space="preserve"> 95%.  </w:t>
      </w:r>
      <w:r>
        <w:rPr>
          <w:sz w:val="22"/>
          <w:szCs w:val="22"/>
        </w:rPr>
        <w:t xml:space="preserve">The evidence in favour of compatibility provided by the </w:t>
      </w:r>
      <w:proofErr w:type="spellStart"/>
      <w:r>
        <w:rPr>
          <w:sz w:val="22"/>
          <w:szCs w:val="22"/>
        </w:rPr>
        <w:t>lCNIRP</w:t>
      </w:r>
      <w:proofErr w:type="spellEnd"/>
      <w:r>
        <w:rPr>
          <w:sz w:val="22"/>
          <w:szCs w:val="22"/>
        </w:rPr>
        <w:t xml:space="preserve"> certificate </w:t>
      </w:r>
      <w:r w:rsidRPr="00962878">
        <w:rPr>
          <w:rFonts w:hint="eastAsia"/>
          <w:b/>
          <w:bCs/>
          <w:sz w:val="22"/>
          <w:szCs w:val="22"/>
        </w:rPr>
        <w:t>is countered</w:t>
      </w:r>
      <w:r>
        <w:rPr>
          <w:sz w:val="22"/>
          <w:szCs w:val="22"/>
        </w:rPr>
        <w:t xml:space="preserve"> by the evidence of harms occurring below the ICNIRP guideline levels in the ICBE-EMF paper.  See Appendix 2)</w:t>
      </w:r>
    </w:p>
    <w:p w14:paraId="7D9E0EE9" w14:textId="77777777" w:rsidR="002B7465" w:rsidRDefault="002B7465" w:rsidP="00962878">
      <w:pPr>
        <w:spacing w:line="288" w:lineRule="auto"/>
        <w:rPr>
          <w:rFonts w:ascii="Calibri" w:hAnsi="Calibri"/>
          <w:sz w:val="22"/>
          <w:szCs w:val="22"/>
        </w:rPr>
      </w:pPr>
    </w:p>
    <w:p w14:paraId="33AEF71B" w14:textId="23BC9009" w:rsidR="002B7465" w:rsidRDefault="00000000">
      <w:pPr>
        <w:numPr>
          <w:ilvl w:val="0"/>
          <w:numId w:val="6"/>
        </w:numPr>
        <w:spacing w:line="288" w:lineRule="auto"/>
        <w:rPr>
          <w:rStyle w:val="Hyperlink"/>
          <w:rFonts w:hint="eastAsia"/>
          <w:color w:val="auto"/>
          <w:u w:val="none"/>
        </w:rPr>
      </w:pPr>
      <w:r>
        <w:rPr>
          <w:rStyle w:val="Hyperlink"/>
          <w:rFonts w:eastAsia="Arial Unicode MS" w:cs="Arial Unicode MS"/>
          <w:color w:val="000000"/>
          <w:sz w:val="22"/>
          <w:szCs w:val="22"/>
          <w:u w:val="none"/>
          <w:shd w:val="clear" w:color="auto" w:fill="FFFFFF"/>
        </w:rPr>
        <w:t>Please consider that fibre is more efficient, a</w:t>
      </w:r>
      <w:r>
        <w:rPr>
          <w:rStyle w:val="Hyperlink"/>
          <w:rFonts w:eastAsia="Arial Unicode MS" w:cs="Arial"/>
          <w:color w:val="000000"/>
          <w:sz w:val="22"/>
          <w:szCs w:val="22"/>
          <w:u w:val="none"/>
          <w:shd w:val="clear" w:color="auto" w:fill="FFFFFF"/>
        </w:rPr>
        <w:t xml:space="preserve"> 5G mast consumes roughly 3</w:t>
      </w:r>
      <w:r w:rsidR="00AD61FC">
        <w:rPr>
          <w:rStyle w:val="Hyperlink"/>
          <w:rFonts w:eastAsia="Arial Unicode MS" w:cs="Arial"/>
          <w:color w:val="000000"/>
          <w:sz w:val="22"/>
          <w:szCs w:val="22"/>
          <w:u w:val="none"/>
          <w:shd w:val="clear" w:color="auto" w:fill="FFFFFF"/>
        </w:rPr>
        <w:t xml:space="preserve"> to </w:t>
      </w:r>
      <w:r>
        <w:rPr>
          <w:rStyle w:val="Hyperlink"/>
          <w:rFonts w:eastAsia="Arial Unicode MS" w:cs="Arial"/>
          <w:color w:val="000000"/>
          <w:sz w:val="22"/>
          <w:szCs w:val="22"/>
          <w:u w:val="none"/>
          <w:shd w:val="clear" w:color="auto" w:fill="FFFFFF"/>
        </w:rPr>
        <w:t>4 times the energy of a 4G mast.</w:t>
      </w:r>
    </w:p>
    <w:p w14:paraId="5A4AA764" w14:textId="77777777" w:rsidR="002B7465" w:rsidRDefault="002B7465" w:rsidP="00962878">
      <w:pPr>
        <w:spacing w:line="288" w:lineRule="auto"/>
        <w:rPr>
          <w:rFonts w:hint="eastAsia"/>
        </w:rPr>
      </w:pPr>
    </w:p>
    <w:p w14:paraId="7D048655" w14:textId="7A2B8371" w:rsidR="002B7465" w:rsidRDefault="00000000">
      <w:pPr>
        <w:pStyle w:val="Heading2"/>
        <w:spacing w:before="0" w:after="0" w:line="288" w:lineRule="auto"/>
        <w:rPr>
          <w:rFonts w:hint="eastAsia"/>
          <w:color w:val="3465A4"/>
          <w:sz w:val="24"/>
          <w:szCs w:val="24"/>
        </w:rPr>
      </w:pPr>
      <w:bookmarkStart w:id="7" w:name="__RefHeading___Toc6535_2626648583"/>
      <w:bookmarkEnd w:id="7"/>
      <w:r>
        <w:rPr>
          <w:color w:val="3465A4"/>
          <w:sz w:val="24"/>
          <w:szCs w:val="24"/>
        </w:rPr>
        <w:t>PLEASE ASK THE APPLICANT TO PROVIDE:</w:t>
      </w:r>
    </w:p>
    <w:p w14:paraId="31A2775F" w14:textId="77777777" w:rsidR="002B7465" w:rsidRDefault="002B7465" w:rsidP="00962878">
      <w:pPr>
        <w:pStyle w:val="BodyText"/>
        <w:rPr>
          <w:rFonts w:hint="eastAsia"/>
        </w:rPr>
      </w:pPr>
    </w:p>
    <w:p w14:paraId="2A32D74E" w14:textId="4CF65417" w:rsidR="002B7465" w:rsidRDefault="00000000">
      <w:pPr>
        <w:pStyle w:val="BodyText"/>
        <w:spacing w:line="288" w:lineRule="auto"/>
        <w:rPr>
          <w:rFonts w:hint="eastAsia"/>
        </w:rPr>
      </w:pPr>
      <w:proofErr w:type="gramStart"/>
      <w:r>
        <w:rPr>
          <w:rFonts w:eastAsia="Microsoft YaHei"/>
          <w:b/>
          <w:bCs/>
          <w:color w:val="2A6099"/>
          <w:lang w:bidi="ar-SA"/>
        </w:rPr>
        <w:t>In order to</w:t>
      </w:r>
      <w:proofErr w:type="gramEnd"/>
      <w:r>
        <w:rPr>
          <w:rFonts w:eastAsia="Microsoft YaHei"/>
          <w:b/>
          <w:bCs/>
          <w:color w:val="2A6099"/>
          <w:lang w:bidi="ar-SA"/>
        </w:rPr>
        <w:t xml:space="preserve"> fulfil an adequate risk assessment:</w:t>
      </w:r>
    </w:p>
    <w:p w14:paraId="7B7A8627" w14:textId="5E3CDA9E" w:rsidR="002B7465" w:rsidRPr="00E04463" w:rsidRDefault="00000000">
      <w:pPr>
        <w:numPr>
          <w:ilvl w:val="0"/>
          <w:numId w:val="7"/>
        </w:numPr>
        <w:spacing w:line="288" w:lineRule="auto"/>
        <w:rPr>
          <w:color w:val="000000"/>
          <w:sz w:val="22"/>
          <w:szCs w:val="22"/>
          <w:lang w:val="fr-FR"/>
        </w:rPr>
      </w:pPr>
      <w:r w:rsidRPr="00962878">
        <w:rPr>
          <w:rFonts w:cs="Arial" w:hint="eastAsia"/>
          <w:color w:val="000000"/>
          <w:sz w:val="22"/>
          <w:szCs w:val="22"/>
          <w:lang w:val="fr-FR"/>
        </w:rPr>
        <w:t>Public ICNIRP compliance</w:t>
      </w:r>
      <w:r>
        <w:rPr>
          <w:rFonts w:cs="Arial"/>
          <w:color w:val="000000"/>
          <w:sz w:val="22"/>
          <w:szCs w:val="22"/>
          <w:lang w:val="fr-FR"/>
        </w:rPr>
        <w:t xml:space="preserve"> (exclusion)</w:t>
      </w:r>
      <w:r w:rsidRPr="00962878">
        <w:rPr>
          <w:rFonts w:cs="Arial" w:hint="eastAsia"/>
          <w:color w:val="000000"/>
          <w:sz w:val="22"/>
          <w:szCs w:val="22"/>
          <w:lang w:val="fr-FR"/>
        </w:rPr>
        <w:t xml:space="preserve"> zone </w:t>
      </w:r>
      <w:proofErr w:type="spellStart"/>
      <w:r w:rsidRPr="00962878">
        <w:rPr>
          <w:rFonts w:cs="Arial" w:hint="eastAsia"/>
          <w:color w:val="000000"/>
          <w:sz w:val="22"/>
          <w:szCs w:val="22"/>
          <w:lang w:val="fr-FR"/>
        </w:rPr>
        <w:t>diagram</w:t>
      </w:r>
      <w:r w:rsidR="00E04463">
        <w:rPr>
          <w:rFonts w:cs="Arial"/>
          <w:color w:val="000000"/>
          <w:sz w:val="22"/>
          <w:szCs w:val="22"/>
          <w:lang w:val="fr-FR"/>
        </w:rPr>
        <w:t>s</w:t>
      </w:r>
      <w:proofErr w:type="spellEnd"/>
    </w:p>
    <w:p w14:paraId="76D00BCA" w14:textId="77777777" w:rsidR="00E04463" w:rsidRDefault="00E04463" w:rsidP="00E04463">
      <w:pPr>
        <w:spacing w:line="288" w:lineRule="auto"/>
        <w:ind w:left="720"/>
        <w:rPr>
          <w:rFonts w:hint="eastAsia"/>
          <w:color w:val="000000"/>
          <w:sz w:val="22"/>
          <w:szCs w:val="22"/>
          <w:lang w:val="fr-FR"/>
        </w:rPr>
      </w:pPr>
    </w:p>
    <w:p w14:paraId="26797690" w14:textId="01860F6B" w:rsidR="002B7465" w:rsidRDefault="00000000">
      <w:pPr>
        <w:numPr>
          <w:ilvl w:val="0"/>
          <w:numId w:val="7"/>
        </w:numPr>
        <w:spacing w:line="288" w:lineRule="auto"/>
        <w:rPr>
          <w:rFonts w:ascii="Calibri" w:hAnsi="Calibri"/>
          <w:color w:val="000000"/>
          <w:sz w:val="22"/>
          <w:szCs w:val="22"/>
        </w:rPr>
      </w:pPr>
      <w:r>
        <w:rPr>
          <w:rFonts w:cs="Arial"/>
          <w:color w:val="000000"/>
          <w:sz w:val="22"/>
          <w:szCs w:val="22"/>
        </w:rPr>
        <w:t xml:space="preserve">A full dataset for the installation. See </w:t>
      </w:r>
      <w:r w:rsidR="00E9222D">
        <w:rPr>
          <w:rFonts w:cs="Arial"/>
          <w:color w:val="000000"/>
          <w:sz w:val="22"/>
          <w:szCs w:val="22"/>
        </w:rPr>
        <w:t>EECC submission a</w:t>
      </w:r>
      <w:r>
        <w:rPr>
          <w:rFonts w:cs="Arial"/>
          <w:color w:val="000000"/>
          <w:sz w:val="22"/>
          <w:szCs w:val="22"/>
        </w:rPr>
        <w:t>ppendix A2</w:t>
      </w:r>
      <w:r w:rsidR="0036769C">
        <w:rPr>
          <w:rFonts w:cs="Arial"/>
          <w:color w:val="000000"/>
          <w:sz w:val="22"/>
          <w:szCs w:val="22"/>
        </w:rPr>
        <w:t>.6</w:t>
      </w:r>
      <w:r>
        <w:rPr>
          <w:rFonts w:cs="Arial"/>
          <w:color w:val="000000"/>
          <w:sz w:val="22"/>
          <w:szCs w:val="22"/>
        </w:rPr>
        <w:t xml:space="preserve"> in:</w:t>
      </w:r>
      <w:r>
        <w:rPr>
          <w:rFonts w:ascii="Calibri" w:hAnsi="Calibri"/>
          <w:color w:val="000000"/>
          <w:sz w:val="22"/>
          <w:szCs w:val="22"/>
        </w:rPr>
        <w:t xml:space="preserve">  </w:t>
      </w:r>
      <w:hyperlink r:id="rId6">
        <w:r>
          <w:rPr>
            <w:rStyle w:val="Hyperlink"/>
            <w:rFonts w:cs="Arial"/>
            <w:sz w:val="22"/>
            <w:szCs w:val="22"/>
          </w:rPr>
          <w:t>https://safetechinternational.org/wp-content/uploads/2023/09/EECCsubmission12-9-2023-info-version.pdf</w:t>
        </w:r>
      </w:hyperlink>
    </w:p>
    <w:p w14:paraId="7B4AE988" w14:textId="77777777" w:rsidR="002B7465" w:rsidRDefault="002B7465">
      <w:pPr>
        <w:spacing w:line="288" w:lineRule="auto"/>
        <w:ind w:left="720"/>
        <w:rPr>
          <w:rFonts w:cs="Arial" w:hint="eastAsia"/>
        </w:rPr>
      </w:pPr>
    </w:p>
    <w:p w14:paraId="03EDF8AD" w14:textId="0F0A1D4B" w:rsidR="002B7465" w:rsidRDefault="00000000">
      <w:pPr>
        <w:numPr>
          <w:ilvl w:val="0"/>
          <w:numId w:val="7"/>
        </w:numPr>
        <w:spacing w:line="288" w:lineRule="auto"/>
        <w:rPr>
          <w:rFonts w:hint="eastAsia"/>
          <w:sz w:val="22"/>
          <w:szCs w:val="22"/>
        </w:rPr>
      </w:pPr>
      <w:r>
        <w:rPr>
          <w:rFonts w:cs="Arial"/>
          <w:color w:val="000000"/>
          <w:sz w:val="22"/>
          <w:szCs w:val="22"/>
        </w:rPr>
        <w:t xml:space="preserve">Calculations of the auditory/sensory exposure limit with clear evidence that this installation </w:t>
      </w:r>
      <w:r w:rsidRPr="00962878">
        <w:rPr>
          <w:rFonts w:cs="Arial" w:hint="eastAsia"/>
          <w:b/>
          <w:bCs/>
          <w:color w:val="000000"/>
          <w:sz w:val="22"/>
          <w:szCs w:val="22"/>
        </w:rPr>
        <w:t>will not</w:t>
      </w:r>
      <w:r>
        <w:rPr>
          <w:rFonts w:cs="Arial"/>
          <w:color w:val="000000"/>
          <w:sz w:val="22"/>
          <w:szCs w:val="22"/>
        </w:rPr>
        <w:t xml:space="preserve"> breach this exposure limit.  (1999/519/EC Table 1, footnote 8)</w:t>
      </w:r>
    </w:p>
    <w:p w14:paraId="5B69B879" w14:textId="77777777" w:rsidR="002B7465" w:rsidRDefault="002B7465" w:rsidP="00962878">
      <w:pPr>
        <w:spacing w:line="288" w:lineRule="auto"/>
        <w:rPr>
          <w:rFonts w:hint="eastAsia"/>
          <w:sz w:val="22"/>
          <w:szCs w:val="22"/>
        </w:rPr>
      </w:pPr>
    </w:p>
    <w:p w14:paraId="01D6D992" w14:textId="12127A2D" w:rsidR="002B7465" w:rsidRDefault="00000000">
      <w:pPr>
        <w:pStyle w:val="Standard"/>
        <w:numPr>
          <w:ilvl w:val="0"/>
          <w:numId w:val="7"/>
        </w:numPr>
        <w:spacing w:line="288" w:lineRule="auto"/>
        <w:rPr>
          <w:rFonts w:ascii="Amiri" w:hAnsi="Amiri" w:hint="eastAsia"/>
          <w:color w:val="000000"/>
          <w:sz w:val="22"/>
          <w:szCs w:val="22"/>
        </w:rPr>
      </w:pPr>
      <w:r>
        <w:rPr>
          <w:rFonts w:ascii="Amiri" w:hAnsi="Amiri" w:cs="Arial"/>
          <w:b/>
          <w:bCs/>
          <w:color w:val="000000"/>
          <w:sz w:val="22"/>
          <w:szCs w:val="22"/>
        </w:rPr>
        <w:t>Cumulative exposure assessments for householders with domestic wireless devices within a 100m location</w:t>
      </w:r>
      <w:r>
        <w:rPr>
          <w:rFonts w:ascii="Amiri" w:hAnsi="Amiri" w:cs="Arial"/>
          <w:color w:val="000000"/>
          <w:sz w:val="22"/>
          <w:szCs w:val="22"/>
        </w:rPr>
        <w:t xml:space="preserve">.  An </w:t>
      </w:r>
      <w:proofErr w:type="gramStart"/>
      <w:r>
        <w:rPr>
          <w:rFonts w:ascii="Amiri" w:hAnsi="Amiri" w:cs="Arial"/>
          <w:color w:val="000000"/>
          <w:sz w:val="22"/>
          <w:szCs w:val="22"/>
        </w:rPr>
        <w:t>ISO standards</w:t>
      </w:r>
      <w:proofErr w:type="gramEnd"/>
      <w:r>
        <w:rPr>
          <w:rFonts w:ascii="Amiri" w:hAnsi="Amiri" w:cs="Arial"/>
          <w:color w:val="000000"/>
          <w:sz w:val="22"/>
          <w:szCs w:val="22"/>
        </w:rPr>
        <w:t xml:space="preserve"> ‘</w:t>
      </w:r>
      <w:proofErr w:type="spellStart"/>
      <w:r>
        <w:rPr>
          <w:rFonts w:ascii="Amiri" w:hAnsi="Amiri" w:cs="Arial"/>
          <w:color w:val="000000"/>
          <w:sz w:val="22"/>
          <w:szCs w:val="22"/>
        </w:rPr>
        <w:t>non compliance</w:t>
      </w:r>
      <w:proofErr w:type="spellEnd"/>
      <w:r>
        <w:rPr>
          <w:rFonts w:ascii="Amiri" w:hAnsi="Amiri" w:cs="Arial"/>
          <w:color w:val="000000"/>
          <w:sz w:val="22"/>
          <w:szCs w:val="22"/>
        </w:rPr>
        <w:t xml:space="preserve"> report’ could be issued to the applicant with the research in the evidence section below. The applicant has obligations under their ISO standards accreditation to provide a response to such a report.</w:t>
      </w:r>
    </w:p>
    <w:p w14:paraId="11418BF5" w14:textId="77777777" w:rsidR="002B7465" w:rsidRDefault="002B7465">
      <w:pPr>
        <w:pStyle w:val="Standard"/>
        <w:spacing w:line="288" w:lineRule="auto"/>
        <w:rPr>
          <w:rFonts w:ascii="Amiri" w:eastAsia="Microsoft YaHei" w:hAnsi="Amiri" w:cs="Lucida Sans" w:hint="eastAsia"/>
          <w:b/>
          <w:bCs/>
          <w:color w:val="2A6099"/>
        </w:rPr>
      </w:pPr>
    </w:p>
    <w:p w14:paraId="1AA2F519" w14:textId="69E5CA9A" w:rsidR="002B7465" w:rsidRDefault="00000000">
      <w:pPr>
        <w:pStyle w:val="Heading2"/>
        <w:spacing w:before="0" w:after="0" w:line="288" w:lineRule="auto"/>
        <w:rPr>
          <w:rFonts w:hint="eastAsia"/>
          <w:color w:val="2A6099"/>
          <w:sz w:val="24"/>
          <w:szCs w:val="24"/>
        </w:rPr>
      </w:pPr>
      <w:bookmarkStart w:id="8" w:name="__RefHeading___Toc6537_2626648583"/>
      <w:bookmarkEnd w:id="8"/>
      <w:r>
        <w:rPr>
          <w:color w:val="2A6099"/>
          <w:sz w:val="24"/>
          <w:szCs w:val="24"/>
        </w:rPr>
        <w:t>PLEASE CHECK THE COMPANY NAMES AND SIGNATURES ON THE ICNIRP CERTIFICATE:</w:t>
      </w:r>
    </w:p>
    <w:p w14:paraId="78A1714F" w14:textId="2F9A6B9F" w:rsidR="002B7465" w:rsidRDefault="00E9222D">
      <w:pPr>
        <w:pStyle w:val="Standard"/>
        <w:spacing w:line="288" w:lineRule="auto"/>
        <w:ind w:left="720"/>
        <w:rPr>
          <w:rFonts w:ascii="Amiri" w:hAnsi="Amiri" w:cs="Arial" w:hint="eastAsia"/>
          <w:color w:val="000000"/>
          <w:sz w:val="22"/>
          <w:szCs w:val="22"/>
        </w:rPr>
      </w:pPr>
      <w:proofErr w:type="gramStart"/>
      <w:r>
        <w:rPr>
          <w:rFonts w:ascii="Amiri" w:hAnsi="Amiri" w:cs="Arial"/>
          <w:color w:val="000000"/>
          <w:sz w:val="22"/>
          <w:szCs w:val="22"/>
        </w:rPr>
        <w:t>In order to</w:t>
      </w:r>
      <w:proofErr w:type="gramEnd"/>
      <w:r>
        <w:rPr>
          <w:rFonts w:ascii="Amiri" w:hAnsi="Amiri" w:cs="Arial"/>
          <w:color w:val="000000"/>
          <w:sz w:val="22"/>
          <w:szCs w:val="22"/>
        </w:rPr>
        <w:t xml:space="preserve"> comply with NPPF 104c, please check that the company name on the ICNIRP compliance certificate is a company registered at Companies House. Many certificates have been issued in the name of non-existent companies, and signed by non-existent employees, rendering them not only as </w:t>
      </w:r>
      <w:r w:rsidRPr="00962878">
        <w:rPr>
          <w:rFonts w:ascii="Amiri" w:hAnsi="Amiri" w:cs="Arial"/>
          <w:b/>
          <w:bCs/>
          <w:color w:val="000000"/>
          <w:sz w:val="22"/>
          <w:szCs w:val="22"/>
        </w:rPr>
        <w:t>unreliable</w:t>
      </w:r>
      <w:r>
        <w:rPr>
          <w:rFonts w:ascii="Amiri" w:hAnsi="Amiri" w:cs="Arial"/>
          <w:color w:val="000000"/>
          <w:sz w:val="22"/>
          <w:szCs w:val="22"/>
        </w:rPr>
        <w:t xml:space="preserve"> evidence, given points 1-13 above, but also coming from an unreliable source.</w:t>
      </w:r>
    </w:p>
    <w:p w14:paraId="6484CA80" w14:textId="77777777" w:rsidR="002B7465" w:rsidRDefault="002B7465">
      <w:pPr>
        <w:pStyle w:val="Standard"/>
        <w:spacing w:line="288" w:lineRule="auto"/>
        <w:ind w:left="720"/>
        <w:rPr>
          <w:rFonts w:ascii="Amiri" w:hAnsi="Amiri" w:hint="eastAsia"/>
          <w:sz w:val="22"/>
          <w:szCs w:val="22"/>
        </w:rPr>
      </w:pPr>
    </w:p>
    <w:p w14:paraId="5559726E" w14:textId="77777777" w:rsidR="002B7465" w:rsidRDefault="00000000">
      <w:pPr>
        <w:spacing w:line="288" w:lineRule="auto"/>
        <w:ind w:left="720"/>
        <w:rPr>
          <w:rFonts w:hint="eastAsia"/>
          <w:color w:val="000000"/>
          <w:sz w:val="22"/>
          <w:szCs w:val="22"/>
        </w:rPr>
      </w:pPr>
      <w:r>
        <w:rPr>
          <w:rFonts w:cs="Arial"/>
          <w:color w:val="000000"/>
          <w:sz w:val="22"/>
          <w:szCs w:val="22"/>
          <w:shd w:val="clear" w:color="auto" w:fill="FFFFFF"/>
        </w:rPr>
        <w:t>The Planning Inspectorate have confirmed to S.T. in an email dated 1</w:t>
      </w:r>
      <w:proofErr w:type="spellStart"/>
      <w:r>
        <w:rPr>
          <w:rFonts w:cs="Arial"/>
          <w:color w:val="000000"/>
          <w:position w:val="7"/>
          <w:sz w:val="22"/>
          <w:szCs w:val="22"/>
          <w:shd w:val="clear" w:color="auto" w:fill="FFFFFF"/>
        </w:rPr>
        <w:t>st</w:t>
      </w:r>
      <w:proofErr w:type="spellEnd"/>
      <w:r>
        <w:rPr>
          <w:rFonts w:cs="Arial"/>
          <w:color w:val="000000"/>
          <w:sz w:val="22"/>
          <w:szCs w:val="22"/>
          <w:shd w:val="clear" w:color="auto" w:fill="FFFFFF"/>
        </w:rPr>
        <w:t xml:space="preserve"> March 2024, </w:t>
      </w:r>
    </w:p>
    <w:p w14:paraId="6387CF4F" w14:textId="77777777" w:rsidR="002B7465" w:rsidRDefault="00000000">
      <w:pPr>
        <w:spacing w:line="288" w:lineRule="auto"/>
        <w:ind w:left="720"/>
        <w:rPr>
          <w:rFonts w:hint="eastAsia"/>
          <w:sz w:val="22"/>
          <w:szCs w:val="22"/>
        </w:rPr>
      </w:pPr>
      <w:r>
        <w:rPr>
          <w:rFonts w:cs="Arial"/>
          <w:color w:val="000000"/>
          <w:sz w:val="22"/>
          <w:szCs w:val="22"/>
          <w:shd w:val="clear" w:color="auto" w:fill="FFFFFF"/>
        </w:rPr>
        <w:t>‘</w:t>
      </w:r>
      <w:r>
        <w:rPr>
          <w:rFonts w:cs="Arial"/>
          <w:b/>
          <w:bCs/>
          <w:i/>
          <w:iCs/>
          <w:color w:val="000000"/>
          <w:sz w:val="22"/>
          <w:szCs w:val="22"/>
        </w:rPr>
        <w:t>It is the responsibility of the relevant LPAs to ensure any certificates submitted as evidence as part of the application are valid</w:t>
      </w:r>
      <w:r>
        <w:rPr>
          <w:rFonts w:cs="Arial"/>
          <w:color w:val="000000"/>
          <w:sz w:val="22"/>
          <w:szCs w:val="22"/>
        </w:rPr>
        <w:t>’.</w:t>
      </w:r>
    </w:p>
    <w:p w14:paraId="6C28F25F" w14:textId="77777777" w:rsidR="002B7465" w:rsidRDefault="002B7465">
      <w:pPr>
        <w:spacing w:line="288" w:lineRule="auto"/>
        <w:rPr>
          <w:rFonts w:cs="Arial" w:hint="eastAsia"/>
          <w:sz w:val="22"/>
          <w:szCs w:val="22"/>
        </w:rPr>
      </w:pPr>
    </w:p>
    <w:p w14:paraId="3257FC94" w14:textId="1E0BB102" w:rsidR="002B7465" w:rsidRDefault="00000000" w:rsidP="00962878">
      <w:pPr>
        <w:pStyle w:val="Heading2"/>
        <w:spacing w:before="0" w:after="0" w:line="288" w:lineRule="auto"/>
        <w:rPr>
          <w:rFonts w:ascii="Liberation Sans" w:hAnsi="Liberation Sans" w:hint="eastAsia"/>
        </w:rPr>
      </w:pPr>
      <w:bookmarkStart w:id="9" w:name="__RefHeading___Toc6539_2626648583"/>
      <w:bookmarkEnd w:id="9"/>
      <w:r>
        <w:rPr>
          <w:rFonts w:cs="Arial"/>
          <w:color w:val="3465A4"/>
          <w:sz w:val="24"/>
          <w:szCs w:val="24"/>
        </w:rPr>
        <w:t>PLEASE ALSO CONSIDER THIS CONTEXT:</w:t>
      </w:r>
    </w:p>
    <w:p w14:paraId="74818584" w14:textId="41926ACD" w:rsidR="002B7465" w:rsidRDefault="00000000">
      <w:pPr>
        <w:numPr>
          <w:ilvl w:val="0"/>
          <w:numId w:val="5"/>
        </w:numPr>
        <w:tabs>
          <w:tab w:val="clear" w:pos="720"/>
          <w:tab w:val="left" w:pos="1440"/>
        </w:tabs>
        <w:spacing w:line="288" w:lineRule="auto"/>
        <w:rPr>
          <w:rFonts w:hint="eastAsia"/>
        </w:rPr>
      </w:pPr>
      <w:r>
        <w:rPr>
          <w:rFonts w:cs="Arial"/>
          <w:color w:val="000000"/>
          <w:sz w:val="22"/>
          <w:szCs w:val="22"/>
        </w:rPr>
        <w:t xml:space="preserve">ICNIRP itself does not guarantee the self-certified certificates. </w:t>
      </w:r>
      <w:r>
        <w:rPr>
          <w:color w:val="000000"/>
          <w:sz w:val="22"/>
          <w:szCs w:val="22"/>
        </w:rPr>
        <w:t>“</w:t>
      </w:r>
      <w:r>
        <w:rPr>
          <w:i/>
          <w:iCs/>
          <w:color w:val="000000"/>
          <w:sz w:val="22"/>
          <w:szCs w:val="22"/>
        </w:rPr>
        <w:t xml:space="preserve">We wish to clarify that </w:t>
      </w:r>
      <w:r>
        <w:rPr>
          <w:b/>
          <w:bCs/>
          <w:i/>
          <w:iCs/>
          <w:color w:val="000000"/>
          <w:sz w:val="22"/>
          <w:szCs w:val="22"/>
        </w:rPr>
        <w:t>ICNIRP does not issue certificates to verify the safety of any device or installation</w:t>
      </w:r>
      <w:r>
        <w:rPr>
          <w:i/>
          <w:iCs/>
          <w:color w:val="000000"/>
          <w:sz w:val="22"/>
          <w:szCs w:val="22"/>
        </w:rPr>
        <w:t xml:space="preserve">. Any such certificates and declarations are issued </w:t>
      </w:r>
      <w:r>
        <w:rPr>
          <w:b/>
          <w:bCs/>
          <w:i/>
          <w:iCs/>
          <w:color w:val="000000"/>
          <w:sz w:val="22"/>
          <w:szCs w:val="22"/>
        </w:rPr>
        <w:t>independently of ICNIRP</w:t>
      </w:r>
      <w:r>
        <w:rPr>
          <w:i/>
          <w:iCs/>
          <w:color w:val="000000"/>
          <w:sz w:val="22"/>
          <w:szCs w:val="22"/>
        </w:rPr>
        <w:t xml:space="preserve">, and ICNIRP does not evaluate their accuracy.   ICNIRP's mission is to provide guidance on non-ionizing radiation protection. Its advice is published </w:t>
      </w:r>
      <w:r>
        <w:rPr>
          <w:i/>
          <w:iCs/>
          <w:color w:val="000000"/>
          <w:sz w:val="22"/>
          <w:szCs w:val="22"/>
        </w:rPr>
        <w:lastRenderedPageBreak/>
        <w:t xml:space="preserve">in the form of ICNIRP guidelines to limit exposure to non-ionizing radiation; in statements, reviews and notes; and through information published on the </w:t>
      </w:r>
      <w:hyperlink r:id="rId7">
        <w:r>
          <w:rPr>
            <w:rStyle w:val="Hyperlink"/>
            <w:i/>
            <w:iCs/>
            <w:color w:val="000000"/>
            <w:sz w:val="22"/>
            <w:szCs w:val="22"/>
            <w:u w:val="none"/>
            <w:lang w:bidi="ar-SA"/>
          </w:rPr>
          <w:t>ICNIRP website</w:t>
        </w:r>
      </w:hyperlink>
      <w:r>
        <w:rPr>
          <w:i/>
          <w:iCs/>
          <w:color w:val="000000"/>
          <w:sz w:val="22"/>
          <w:szCs w:val="22"/>
        </w:rPr>
        <w:t>.</w:t>
      </w:r>
      <w:r>
        <w:rPr>
          <w:color w:val="000000"/>
          <w:sz w:val="22"/>
          <w:szCs w:val="22"/>
        </w:rPr>
        <w:t>”</w:t>
      </w:r>
    </w:p>
    <w:p w14:paraId="10C6821F" w14:textId="2918027B" w:rsidR="001E039A" w:rsidRPr="001E039A" w:rsidRDefault="00000000" w:rsidP="001E039A">
      <w:pPr>
        <w:pStyle w:val="standard0"/>
        <w:numPr>
          <w:ilvl w:val="0"/>
          <w:numId w:val="9"/>
        </w:numPr>
        <w:spacing w:before="0" w:after="0" w:line="288" w:lineRule="auto"/>
        <w:rPr>
          <w:rFonts w:hint="eastAsia"/>
          <w:sz w:val="22"/>
          <w:szCs w:val="22"/>
        </w:rPr>
      </w:pPr>
      <w:r w:rsidRPr="001E039A">
        <w:rPr>
          <w:rFonts w:cs="Arial"/>
          <w:b/>
          <w:bCs/>
          <w:color w:val="000000"/>
          <w:sz w:val="22"/>
          <w:szCs w:val="22"/>
        </w:rPr>
        <w:t xml:space="preserve">INSURANCE: </w:t>
      </w:r>
      <w:r w:rsidRPr="001E039A">
        <w:rPr>
          <w:rFonts w:cs="Arial"/>
          <w:color w:val="000000"/>
          <w:sz w:val="22"/>
          <w:szCs w:val="22"/>
        </w:rPr>
        <w:t>Insurance companies will not insure against harm caused by EMFs.</w:t>
      </w:r>
    </w:p>
    <w:p w14:paraId="58C20F3F" w14:textId="6D41CF9C" w:rsidR="002B7465" w:rsidRPr="001E039A" w:rsidRDefault="00000000" w:rsidP="001E039A">
      <w:pPr>
        <w:pStyle w:val="standard0"/>
        <w:numPr>
          <w:ilvl w:val="0"/>
          <w:numId w:val="9"/>
        </w:numPr>
        <w:spacing w:before="0" w:after="0" w:line="288" w:lineRule="auto"/>
        <w:rPr>
          <w:rFonts w:hint="eastAsia"/>
          <w:sz w:val="22"/>
          <w:szCs w:val="22"/>
        </w:rPr>
      </w:pPr>
      <w:r w:rsidRPr="001E039A">
        <w:rPr>
          <w:rFonts w:cs="Arial"/>
          <w:b/>
          <w:bCs/>
          <w:color w:val="000000"/>
          <w:sz w:val="22"/>
          <w:szCs w:val="22"/>
        </w:rPr>
        <w:t xml:space="preserve">SMART CONTROL:  </w:t>
      </w:r>
      <w:r w:rsidRPr="001E039A">
        <w:rPr>
          <w:rFonts w:cs="Arial"/>
          <w:color w:val="000000"/>
          <w:sz w:val="22"/>
          <w:szCs w:val="22"/>
        </w:rPr>
        <w:t>in the wrong hands the proliferation of ‘smart’ surveillance networks</w:t>
      </w:r>
    </w:p>
    <w:p w14:paraId="27CFD7A7" w14:textId="7C81B727" w:rsidR="002B7465" w:rsidRDefault="00000000" w:rsidP="00E04463">
      <w:pPr>
        <w:pStyle w:val="Standard"/>
        <w:spacing w:line="288" w:lineRule="auto"/>
        <w:ind w:left="700"/>
        <w:rPr>
          <w:rFonts w:ascii="Amiri" w:hAnsi="Amiri" w:hint="eastAsia"/>
          <w:sz w:val="22"/>
          <w:szCs w:val="22"/>
        </w:rPr>
      </w:pPr>
      <w:r>
        <w:rPr>
          <w:rFonts w:ascii="Amiri" w:hAnsi="Amiri" w:cs="Arial"/>
          <w:color w:val="000000"/>
          <w:sz w:val="22"/>
          <w:szCs w:val="22"/>
        </w:rPr>
        <w:t>would pose a serious threat to our freedom and any democratic way of life.  5G-6G networks are the backbone needed to operate such systems.</w:t>
      </w:r>
    </w:p>
    <w:p w14:paraId="6B90ED7E" w14:textId="77777777" w:rsidR="002B7465" w:rsidRDefault="002B7465">
      <w:pPr>
        <w:pStyle w:val="Standard"/>
        <w:spacing w:line="288" w:lineRule="auto"/>
        <w:rPr>
          <w:rFonts w:cs="Arial"/>
          <w:color w:val="000000"/>
        </w:rPr>
      </w:pPr>
    </w:p>
    <w:p w14:paraId="31F3F415" w14:textId="77777777" w:rsidR="002B7465" w:rsidRDefault="00000000">
      <w:pPr>
        <w:pStyle w:val="Heading2"/>
        <w:spacing w:before="0" w:after="0" w:line="288" w:lineRule="auto"/>
        <w:rPr>
          <w:rFonts w:cs="Arial" w:hint="eastAsia"/>
          <w:color w:val="3465A4"/>
          <w:sz w:val="24"/>
          <w:szCs w:val="24"/>
        </w:rPr>
      </w:pPr>
      <w:bookmarkStart w:id="10" w:name="__RefHeading___Toc6541_2626648583"/>
      <w:bookmarkEnd w:id="10"/>
      <w:r>
        <w:rPr>
          <w:rFonts w:cs="Arial"/>
          <w:color w:val="3465A4"/>
          <w:sz w:val="24"/>
          <w:szCs w:val="24"/>
        </w:rPr>
        <w:t>CONCLUSION</w:t>
      </w:r>
    </w:p>
    <w:p w14:paraId="76E7A676" w14:textId="7072FC90" w:rsidR="002B7465" w:rsidRDefault="00000000">
      <w:pPr>
        <w:pStyle w:val="standard0"/>
        <w:spacing w:before="0" w:after="0" w:line="288" w:lineRule="auto"/>
        <w:rPr>
          <w:rFonts w:cs="Arial" w:hint="eastAsia"/>
          <w:color w:val="000000"/>
          <w:sz w:val="22"/>
          <w:szCs w:val="22"/>
        </w:rPr>
      </w:pPr>
      <w:r>
        <w:rPr>
          <w:rFonts w:cs="Arial"/>
          <w:color w:val="000000"/>
          <w:sz w:val="22"/>
          <w:szCs w:val="22"/>
        </w:rPr>
        <w:t xml:space="preserve">Thank you for considering all these points in full and please be mindful to </w:t>
      </w:r>
      <w:r w:rsidRPr="00962878">
        <w:rPr>
          <w:rFonts w:cs="Arial" w:hint="eastAsia"/>
          <w:b/>
          <w:bCs/>
          <w:color w:val="000000"/>
          <w:sz w:val="22"/>
          <w:szCs w:val="22"/>
        </w:rPr>
        <w:t>refuse</w:t>
      </w:r>
      <w:r>
        <w:rPr>
          <w:rFonts w:cs="Arial"/>
          <w:color w:val="000000"/>
          <w:sz w:val="22"/>
          <w:szCs w:val="22"/>
        </w:rPr>
        <w:t xml:space="preserve"> the application on the grounds that there is not enough evidence of safety to proceed or delay the application until you have received clarity from the government about the conflicts between policy 122 and your role in risk reconciliation.</w:t>
      </w:r>
    </w:p>
    <w:p w14:paraId="2FE9FF18" w14:textId="77777777" w:rsidR="002B7465" w:rsidRDefault="002B7465">
      <w:pPr>
        <w:pStyle w:val="standard0"/>
        <w:spacing w:before="0" w:after="0" w:line="288" w:lineRule="auto"/>
        <w:rPr>
          <w:rFonts w:cs="Arial" w:hint="eastAsia"/>
          <w:color w:val="000000"/>
          <w:sz w:val="22"/>
          <w:szCs w:val="22"/>
        </w:rPr>
      </w:pPr>
    </w:p>
    <w:p w14:paraId="3EEC09DF" w14:textId="77777777" w:rsidR="002B7465" w:rsidRDefault="00000000">
      <w:pPr>
        <w:pStyle w:val="standard0"/>
        <w:spacing w:before="0" w:after="0" w:line="288" w:lineRule="auto"/>
        <w:rPr>
          <w:rFonts w:hint="eastAsia"/>
          <w:sz w:val="22"/>
          <w:szCs w:val="22"/>
        </w:rPr>
      </w:pPr>
      <w:r>
        <w:rPr>
          <w:rFonts w:cs="Arial"/>
          <w:color w:val="000000"/>
          <w:sz w:val="22"/>
          <w:szCs w:val="22"/>
        </w:rPr>
        <w:t>Yours sincerely</w:t>
      </w:r>
    </w:p>
    <w:p w14:paraId="004374CD" w14:textId="77777777" w:rsidR="002B7465" w:rsidRDefault="002B7465">
      <w:pPr>
        <w:pStyle w:val="standard0"/>
        <w:spacing w:before="0" w:after="0" w:line="288" w:lineRule="auto"/>
        <w:rPr>
          <w:rFonts w:cs="Arial" w:hint="eastAsia"/>
          <w:color w:val="FF0000"/>
          <w:sz w:val="22"/>
          <w:szCs w:val="22"/>
        </w:rPr>
      </w:pPr>
    </w:p>
    <w:p w14:paraId="14AA0021" w14:textId="77777777" w:rsidR="00962878" w:rsidRDefault="00962878">
      <w:pPr>
        <w:pStyle w:val="standard0"/>
        <w:spacing w:before="0" w:after="0" w:line="288" w:lineRule="auto"/>
        <w:rPr>
          <w:rFonts w:cs="Arial" w:hint="eastAsia"/>
          <w:color w:val="FF0000"/>
          <w:sz w:val="22"/>
          <w:szCs w:val="22"/>
        </w:rPr>
      </w:pPr>
    </w:p>
    <w:p w14:paraId="4A181C8F" w14:textId="77777777" w:rsidR="00962878" w:rsidRDefault="00962878">
      <w:pPr>
        <w:pStyle w:val="standard0"/>
        <w:spacing w:before="0" w:after="0" w:line="288" w:lineRule="auto"/>
        <w:rPr>
          <w:rFonts w:cs="Arial" w:hint="eastAsia"/>
          <w:color w:val="FF0000"/>
          <w:sz w:val="22"/>
          <w:szCs w:val="22"/>
        </w:rPr>
      </w:pPr>
    </w:p>
    <w:p w14:paraId="36E48635" w14:textId="77777777" w:rsidR="002B7465" w:rsidRDefault="00000000">
      <w:pPr>
        <w:pStyle w:val="standard0"/>
        <w:spacing w:before="0" w:after="0" w:line="288" w:lineRule="auto"/>
        <w:rPr>
          <w:rFonts w:hint="eastAsia"/>
          <w:sz w:val="22"/>
          <w:szCs w:val="22"/>
        </w:rPr>
      </w:pPr>
      <w:r>
        <w:rPr>
          <w:rFonts w:cs="Arial"/>
          <w:b/>
          <w:bCs/>
          <w:color w:val="FF0000"/>
          <w:sz w:val="22"/>
          <w:szCs w:val="22"/>
        </w:rPr>
        <w:t>name</w:t>
      </w:r>
    </w:p>
    <w:p w14:paraId="77FD7FC3" w14:textId="77777777" w:rsidR="002B7465" w:rsidRDefault="00000000">
      <w:pPr>
        <w:pStyle w:val="standard0"/>
        <w:spacing w:before="0" w:after="0" w:line="288" w:lineRule="auto"/>
        <w:rPr>
          <w:rFonts w:hint="eastAsia"/>
          <w:sz w:val="22"/>
          <w:szCs w:val="22"/>
        </w:rPr>
      </w:pPr>
      <w:r>
        <w:rPr>
          <w:rFonts w:cs="Arial"/>
          <w:color w:val="FF0000"/>
          <w:sz w:val="22"/>
          <w:szCs w:val="22"/>
        </w:rPr>
        <w:t>address</w:t>
      </w:r>
    </w:p>
    <w:p w14:paraId="531B4244" w14:textId="77777777" w:rsidR="002B7465" w:rsidRDefault="002B7465">
      <w:pPr>
        <w:pStyle w:val="standard0"/>
        <w:tabs>
          <w:tab w:val="left" w:pos="2000"/>
        </w:tabs>
        <w:spacing w:before="0" w:after="0" w:line="288" w:lineRule="auto"/>
        <w:rPr>
          <w:rFonts w:cs="Arial" w:hint="eastAsia"/>
          <w:color w:val="000000"/>
          <w:shd w:val="clear" w:color="auto" w:fill="FFFFFF"/>
        </w:rPr>
      </w:pPr>
    </w:p>
    <w:p w14:paraId="69EE279F" w14:textId="77777777" w:rsidR="00962878" w:rsidRDefault="00962878">
      <w:pPr>
        <w:pStyle w:val="standard0"/>
        <w:tabs>
          <w:tab w:val="left" w:pos="2000"/>
        </w:tabs>
        <w:spacing w:before="0" w:after="0" w:line="288" w:lineRule="auto"/>
        <w:rPr>
          <w:rFonts w:cs="Arial" w:hint="eastAsia"/>
          <w:color w:val="000000"/>
          <w:shd w:val="clear" w:color="auto" w:fill="FFFFFF"/>
        </w:rPr>
      </w:pPr>
    </w:p>
    <w:p w14:paraId="57CA103B" w14:textId="77777777" w:rsidR="002B7465" w:rsidRDefault="00000000">
      <w:pPr>
        <w:pStyle w:val="Heading2"/>
        <w:spacing w:before="0" w:after="0" w:line="288" w:lineRule="auto"/>
        <w:rPr>
          <w:rFonts w:hint="eastAsia"/>
          <w:color w:val="3465A4"/>
          <w:sz w:val="28"/>
          <w:szCs w:val="28"/>
        </w:rPr>
      </w:pPr>
      <w:bookmarkStart w:id="11" w:name="__RefHeading___Toc6543_2626648583"/>
      <w:bookmarkEnd w:id="11"/>
      <w:r w:rsidRPr="00962878">
        <w:rPr>
          <w:rFonts w:cs="Arial" w:hint="eastAsia"/>
          <w:color w:val="3465A4"/>
          <w:sz w:val="28"/>
          <w:szCs w:val="28"/>
        </w:rPr>
        <w:t>APPENDIX</w:t>
      </w:r>
    </w:p>
    <w:p w14:paraId="7DDD85FD" w14:textId="77777777" w:rsidR="002B7465" w:rsidRDefault="002B7465">
      <w:pPr>
        <w:spacing w:line="288" w:lineRule="auto"/>
        <w:rPr>
          <w:rFonts w:cs="Arial" w:hint="eastAsia"/>
        </w:rPr>
      </w:pPr>
    </w:p>
    <w:p w14:paraId="366A43F4" w14:textId="77777777" w:rsidR="002B7465" w:rsidRDefault="00000000">
      <w:pPr>
        <w:pStyle w:val="Heading2"/>
        <w:spacing w:before="0" w:after="0" w:line="288" w:lineRule="auto"/>
        <w:rPr>
          <w:rFonts w:hint="eastAsia"/>
          <w:color w:val="3465A4"/>
          <w:sz w:val="24"/>
          <w:szCs w:val="24"/>
        </w:rPr>
      </w:pPr>
      <w:bookmarkStart w:id="12" w:name="__RefHeading___Toc6545_2626648583"/>
      <w:bookmarkEnd w:id="12"/>
      <w:r>
        <w:rPr>
          <w:color w:val="3465A4"/>
          <w:sz w:val="24"/>
          <w:szCs w:val="24"/>
        </w:rPr>
        <w:t>A1) LEGAL BACKGROUND</w:t>
      </w:r>
    </w:p>
    <w:p w14:paraId="25BDCA06" w14:textId="77777777" w:rsidR="002B7465" w:rsidRDefault="002B7465">
      <w:pPr>
        <w:spacing w:line="288" w:lineRule="auto"/>
        <w:rPr>
          <w:rFonts w:hint="eastAsia"/>
          <w:b/>
          <w:bCs/>
          <w:color w:val="2A6099"/>
          <w:sz w:val="22"/>
          <w:szCs w:val="22"/>
          <w:u w:val="single"/>
        </w:rPr>
      </w:pPr>
    </w:p>
    <w:p w14:paraId="7CFC0E9C" w14:textId="608190E7" w:rsidR="002B7465" w:rsidRDefault="00000000">
      <w:pPr>
        <w:pStyle w:val="Heading3"/>
        <w:spacing w:before="0" w:after="0" w:line="288" w:lineRule="auto"/>
        <w:rPr>
          <w:rFonts w:hint="eastAsia"/>
          <w:sz w:val="24"/>
          <w:szCs w:val="24"/>
        </w:rPr>
      </w:pPr>
      <w:bookmarkStart w:id="13" w:name="__RefHeading___Toc6547_2626648583"/>
      <w:bookmarkEnd w:id="13"/>
      <w:r>
        <w:rPr>
          <w:color w:val="2A6099"/>
          <w:sz w:val="24"/>
          <w:szCs w:val="24"/>
        </w:rPr>
        <w:t>A1.1) GPDO</w:t>
      </w:r>
    </w:p>
    <w:p w14:paraId="6CC96CFB" w14:textId="65A0DA30" w:rsidR="002B7465" w:rsidRDefault="00000000">
      <w:pPr>
        <w:spacing w:line="288" w:lineRule="auto"/>
        <w:rPr>
          <w:rFonts w:hint="eastAsia"/>
        </w:rPr>
      </w:pPr>
      <w:r>
        <w:rPr>
          <w:b/>
          <w:bCs/>
          <w:color w:val="0B0C0C"/>
          <w:sz w:val="22"/>
          <w:szCs w:val="22"/>
        </w:rPr>
        <w:t>New ground-based masts</w:t>
      </w:r>
    </w:p>
    <w:p w14:paraId="0666D232" w14:textId="77777777" w:rsidR="002B7465"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hint="eastAsia"/>
          <w:sz w:val="22"/>
          <w:szCs w:val="22"/>
        </w:rPr>
      </w:pPr>
      <w:r>
        <w:rPr>
          <w:rFonts w:cs="Arial"/>
          <w:i/>
          <w:iCs/>
          <w:sz w:val="22"/>
          <w:szCs w:val="22"/>
        </w:rPr>
        <w:t>GPDO: "The Council should be aware of their legal obligations that Prior Approval is definitely required as confirmed by the ministerial statement issued 7 March 2022 by Julia Lopez MP, Minister of State for Media, Data, and Digital Infrastructure and the Rt Hon Stuart Andrew MP, Minister for State for Housing. They stated that all new ground-based masts will still require the prior approval of the local planning authority. Prior approval still requires full public consultation.</w:t>
      </w:r>
    </w:p>
    <w:p w14:paraId="319A8921" w14:textId="77777777" w:rsidR="002B7465" w:rsidRDefault="002B74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cs="Arial" w:hint="eastAsia"/>
          <w:i/>
          <w:iCs/>
          <w:sz w:val="22"/>
          <w:szCs w:val="22"/>
        </w:rPr>
      </w:pPr>
    </w:p>
    <w:p w14:paraId="108B7CF9" w14:textId="77777777" w:rsidR="002B7465"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hint="eastAsia"/>
          <w:sz w:val="22"/>
          <w:szCs w:val="22"/>
        </w:rPr>
      </w:pPr>
      <w:r>
        <w:rPr>
          <w:rFonts w:cs="Arial"/>
          <w:i/>
          <w:iCs/>
          <w:sz w:val="22"/>
          <w:szCs w:val="22"/>
        </w:rPr>
        <w:t>The requirement for Prior Approval is further confirmed as a legal requirement of the statutory General Permitted Development Order. The Explanatory Memorandum to the GPDO states:</w:t>
      </w:r>
    </w:p>
    <w:p w14:paraId="524628F5" w14:textId="77777777" w:rsidR="002B7465" w:rsidRDefault="002B74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cs="Arial" w:hint="eastAsia"/>
          <w:i/>
          <w:iCs/>
          <w:sz w:val="22"/>
          <w:szCs w:val="22"/>
        </w:rPr>
      </w:pPr>
    </w:p>
    <w:p w14:paraId="689E2A4D" w14:textId="77777777" w:rsidR="002B7465"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hint="eastAsia"/>
          <w:sz w:val="22"/>
          <w:szCs w:val="22"/>
        </w:rPr>
      </w:pPr>
      <w:r>
        <w:rPr>
          <w:rFonts w:cs="Arial"/>
          <w:i/>
          <w:iCs/>
          <w:sz w:val="22"/>
          <w:szCs w:val="22"/>
        </w:rPr>
        <w:t xml:space="preserve">New ground-based masts </w:t>
      </w:r>
    </w:p>
    <w:p w14:paraId="16C9AA03" w14:textId="77777777" w:rsidR="002B7465" w:rsidRDefault="00000000">
      <w:pPr>
        <w:pStyle w:val="FootnoteText"/>
        <w:spacing w:line="288" w:lineRule="auto"/>
        <w:rPr>
          <w:rFonts w:hint="eastAsia"/>
          <w:sz w:val="22"/>
          <w:szCs w:val="22"/>
        </w:rPr>
      </w:pPr>
      <w:r>
        <w:rPr>
          <w:rFonts w:cs="Arial"/>
          <w:i/>
          <w:iCs/>
          <w:sz w:val="22"/>
          <w:szCs w:val="22"/>
        </w:rPr>
        <w:t xml:space="preserve"> 7.16 Article 3(2)(a) of this Order alters the height limits for the deployment of new </w:t>
      </w:r>
      <w:proofErr w:type="gramStart"/>
      <w:r>
        <w:rPr>
          <w:rFonts w:cs="Arial"/>
          <w:i/>
          <w:iCs/>
          <w:sz w:val="22"/>
          <w:szCs w:val="22"/>
        </w:rPr>
        <w:t>ground based</w:t>
      </w:r>
      <w:proofErr w:type="gramEnd"/>
      <w:r>
        <w:rPr>
          <w:rFonts w:cs="Arial"/>
          <w:i/>
          <w:iCs/>
          <w:sz w:val="22"/>
          <w:szCs w:val="22"/>
        </w:rPr>
        <w:t xml:space="preserve"> masts through permitted development rights. </w:t>
      </w:r>
      <w:r>
        <w:rPr>
          <w:rFonts w:cs="Arial"/>
          <w:i/>
          <w:iCs/>
          <w:color w:val="4472C4"/>
          <w:sz w:val="22"/>
          <w:szCs w:val="22"/>
        </w:rPr>
        <w:t>These changes permit the installation of new ground-based masts of up to 30 metres in height on unprotected land, and up to 25 metres on Article 2(3) land. In both cases Code Operators would need prior approval from the local planning authority."</w:t>
      </w:r>
    </w:p>
    <w:p w14:paraId="518BE6FE" w14:textId="77777777" w:rsidR="002B7465" w:rsidRDefault="002B7465">
      <w:pPr>
        <w:spacing w:line="288" w:lineRule="auto"/>
        <w:rPr>
          <w:rFonts w:cs="Arial" w:hint="eastAsia"/>
          <w:color w:val="000000"/>
        </w:rPr>
      </w:pPr>
    </w:p>
    <w:p w14:paraId="74C98404" w14:textId="66DF4F55" w:rsidR="002B7465" w:rsidRDefault="00000000" w:rsidP="00962878">
      <w:pPr>
        <w:pStyle w:val="Heading3"/>
        <w:spacing w:before="0" w:after="0" w:line="288" w:lineRule="auto"/>
        <w:rPr>
          <w:rFonts w:cs="Arial" w:hint="eastAsia"/>
        </w:rPr>
      </w:pPr>
      <w:bookmarkStart w:id="14" w:name="__RefHeading___Toc6549_2626648583"/>
      <w:bookmarkEnd w:id="14"/>
      <w:r>
        <w:rPr>
          <w:color w:val="2A6099"/>
          <w:sz w:val="24"/>
          <w:szCs w:val="24"/>
        </w:rPr>
        <w:t>A1.2) PIPER - OBLIGATION TO WEIGH RISK FOR LABILITY PURPOSES</w:t>
      </w:r>
    </w:p>
    <w:p w14:paraId="71DA7A2C" w14:textId="77777777" w:rsidR="002B7465" w:rsidRDefault="00000000">
      <w:pPr>
        <w:spacing w:line="288" w:lineRule="auto"/>
        <w:rPr>
          <w:rFonts w:hint="eastAsia"/>
        </w:rPr>
      </w:pPr>
      <w:r>
        <w:rPr>
          <w:rFonts w:cs="Arial"/>
          <w:color w:val="000000"/>
          <w:sz w:val="22"/>
          <w:szCs w:val="22"/>
        </w:rPr>
        <w:t xml:space="preserve">DLA PIPER – Public Health England (UKHSA) </w:t>
      </w:r>
      <w:proofErr w:type="gramStart"/>
      <w:r>
        <w:rPr>
          <w:rFonts w:cs="Arial"/>
          <w:color w:val="000000"/>
          <w:sz w:val="22"/>
          <w:szCs w:val="22"/>
        </w:rPr>
        <w:t>solicitors</w:t>
      </w:r>
      <w:proofErr w:type="gramEnd"/>
      <w:r>
        <w:rPr>
          <w:rFonts w:cs="Arial"/>
          <w:color w:val="000000"/>
          <w:sz w:val="22"/>
          <w:szCs w:val="22"/>
        </w:rPr>
        <w:t xml:space="preserve"> letter, August 2019 </w:t>
      </w:r>
    </w:p>
    <w:p w14:paraId="658DD967" w14:textId="77777777" w:rsidR="002B7465" w:rsidRDefault="00000000">
      <w:pPr>
        <w:spacing w:line="288" w:lineRule="auto"/>
        <w:rPr>
          <w:rFonts w:hint="eastAsia"/>
        </w:rPr>
      </w:pPr>
      <w:r>
        <w:rPr>
          <w:rFonts w:cs="Arial"/>
          <w:i/>
          <w:iCs/>
          <w:color w:val="000000"/>
          <w:sz w:val="22"/>
          <w:szCs w:val="22"/>
        </w:rPr>
        <w:t>“</w:t>
      </w:r>
      <w:r>
        <w:rPr>
          <w:rFonts w:cs="Arial"/>
          <w:b/>
          <w:bCs/>
          <w:i/>
          <w:iCs/>
          <w:color w:val="000000"/>
          <w:sz w:val="22"/>
          <w:szCs w:val="22"/>
        </w:rPr>
        <w:t xml:space="preserve">Guidance is not maintained and revised by PHE for the explicit purpose of </w:t>
      </w:r>
      <w:proofErr w:type="spellStart"/>
      <w:r>
        <w:rPr>
          <w:rFonts w:cs="Arial"/>
          <w:b/>
          <w:bCs/>
          <w:i/>
          <w:iCs/>
          <w:color w:val="000000"/>
          <w:sz w:val="22"/>
          <w:szCs w:val="22"/>
        </w:rPr>
        <w:t>any body</w:t>
      </w:r>
      <w:proofErr w:type="spellEnd"/>
      <w:r>
        <w:rPr>
          <w:rFonts w:cs="Arial"/>
          <w:b/>
          <w:bCs/>
          <w:i/>
          <w:iCs/>
          <w:color w:val="000000"/>
          <w:sz w:val="22"/>
          <w:szCs w:val="22"/>
        </w:rPr>
        <w:t xml:space="preserve"> undertaking any other statutory function</w:t>
      </w:r>
      <w:r>
        <w:rPr>
          <w:rFonts w:cs="Arial"/>
          <w:i/>
          <w:iCs/>
          <w:color w:val="000000"/>
          <w:sz w:val="22"/>
          <w:szCs w:val="22"/>
        </w:rPr>
        <w:t>. If in any other context regard is had to the</w:t>
      </w:r>
      <w:r>
        <w:rPr>
          <w:rFonts w:cs="Arial"/>
          <w:b/>
          <w:bCs/>
          <w:i/>
          <w:iCs/>
          <w:color w:val="000000"/>
          <w:sz w:val="22"/>
          <w:szCs w:val="22"/>
        </w:rPr>
        <w:t xml:space="preserve"> Guidance that is entirely a matter for the discretion of the relevant body</w:t>
      </w:r>
      <w:r>
        <w:rPr>
          <w:rFonts w:cs="Arial"/>
          <w:i/>
          <w:iCs/>
          <w:color w:val="000000"/>
          <w:sz w:val="22"/>
          <w:szCs w:val="22"/>
        </w:rPr>
        <w:t xml:space="preserve"> and it must determine what weight to place on the Guidance given the </w:t>
      </w:r>
      <w:r>
        <w:rPr>
          <w:rFonts w:cs="Arial"/>
          <w:i/>
          <w:iCs/>
          <w:color w:val="000000"/>
          <w:sz w:val="22"/>
          <w:szCs w:val="22"/>
        </w:rPr>
        <w:lastRenderedPageBreak/>
        <w:t xml:space="preserve">clear indication as to the sources from which the advice and recommendations in the Guidance are derived. </w:t>
      </w:r>
      <w:r>
        <w:rPr>
          <w:rFonts w:cs="Arial"/>
          <w:b/>
          <w:bCs/>
          <w:i/>
          <w:iCs/>
          <w:color w:val="000000"/>
          <w:sz w:val="22"/>
          <w:szCs w:val="22"/>
        </w:rPr>
        <w:t xml:space="preserve">Equally, that body must determine what other evidence from ... members of the </w:t>
      </w:r>
      <w:r>
        <w:rPr>
          <w:rStyle w:val="DefaultParagraphFont1"/>
          <w:rFonts w:cs="Arial"/>
          <w:b/>
          <w:bCs/>
          <w:i/>
          <w:iCs/>
          <w:color w:val="000000"/>
          <w:sz w:val="22"/>
          <w:szCs w:val="22"/>
          <w:lang w:bidi="ar-SA"/>
        </w:rPr>
        <w:t>public or interested parties to consider in making any decision”</w:t>
      </w:r>
      <w:r>
        <w:rPr>
          <w:rStyle w:val="DefaultParagraphFont1"/>
          <w:rFonts w:cs="Arial"/>
          <w:i/>
          <w:iCs/>
          <w:color w:val="000000"/>
          <w:sz w:val="22"/>
          <w:szCs w:val="22"/>
          <w:lang w:bidi="ar-SA"/>
        </w:rPr>
        <w:t>.</w:t>
      </w:r>
      <w:r>
        <w:rPr>
          <w:rStyle w:val="DefaultParagraphFont1"/>
          <w:rFonts w:cs="Arial"/>
          <w:color w:val="000000"/>
          <w:sz w:val="22"/>
          <w:szCs w:val="22"/>
          <w:lang w:bidi="ar-SA"/>
        </w:rPr>
        <w:t xml:space="preserve"> Full letter available on request.</w:t>
      </w:r>
    </w:p>
    <w:p w14:paraId="0DDA2228" w14:textId="77777777" w:rsidR="002B7465" w:rsidRDefault="002B7465">
      <w:pPr>
        <w:spacing w:line="288" w:lineRule="auto"/>
        <w:rPr>
          <w:rFonts w:cs="Arial" w:hint="eastAsia"/>
          <w:color w:val="000000"/>
        </w:rPr>
      </w:pPr>
    </w:p>
    <w:p w14:paraId="045D14ED" w14:textId="77777777" w:rsidR="002B7465" w:rsidRDefault="00000000">
      <w:pPr>
        <w:pStyle w:val="Heading3"/>
        <w:spacing w:before="0" w:after="0" w:line="288" w:lineRule="auto"/>
        <w:rPr>
          <w:rFonts w:hint="eastAsia"/>
          <w:color w:val="2A6099"/>
          <w:sz w:val="24"/>
          <w:szCs w:val="24"/>
        </w:rPr>
      </w:pPr>
      <w:bookmarkStart w:id="15" w:name="__RefHeading___Toc6551_2626648583"/>
      <w:bookmarkEnd w:id="15"/>
      <w:r>
        <w:rPr>
          <w:color w:val="2A6099"/>
          <w:sz w:val="24"/>
          <w:szCs w:val="24"/>
        </w:rPr>
        <w:t>A1.3 JUDICIAL REVIEW – EECC SUBMISSION</w:t>
      </w:r>
    </w:p>
    <w:p w14:paraId="01F88B03" w14:textId="1FF35F4D" w:rsidR="002B7465" w:rsidRDefault="00000000">
      <w:pPr>
        <w:tabs>
          <w:tab w:val="left" w:pos="709"/>
        </w:tabs>
        <w:spacing w:line="288" w:lineRule="auto"/>
        <w:rPr>
          <w:rFonts w:hint="eastAsia"/>
          <w:color w:val="000000"/>
          <w:sz w:val="22"/>
          <w:szCs w:val="22"/>
        </w:rPr>
      </w:pPr>
      <w:r>
        <w:rPr>
          <w:rFonts w:cs="Arial"/>
          <w:b/>
          <w:bCs/>
          <w:color w:val="000000"/>
          <w:sz w:val="22"/>
          <w:szCs w:val="22"/>
        </w:rPr>
        <w:t>A sealed Judicial Review application</w:t>
      </w:r>
      <w:r>
        <w:rPr>
          <w:b/>
          <w:bCs/>
          <w:color w:val="000000"/>
          <w:sz w:val="22"/>
          <w:szCs w:val="22"/>
        </w:rPr>
        <w:t xml:space="preserve"> was filed against the Department of Health and the Department of Levelling Up, </w:t>
      </w:r>
      <w:proofErr w:type="gramStart"/>
      <w:r>
        <w:rPr>
          <w:b/>
          <w:bCs/>
          <w:color w:val="000000"/>
          <w:sz w:val="22"/>
          <w:szCs w:val="22"/>
        </w:rPr>
        <w:t>on  December</w:t>
      </w:r>
      <w:proofErr w:type="gramEnd"/>
      <w:r>
        <w:rPr>
          <w:b/>
          <w:bCs/>
          <w:color w:val="000000"/>
          <w:sz w:val="22"/>
          <w:szCs w:val="22"/>
        </w:rPr>
        <w:t xml:space="preserve"> 21</w:t>
      </w:r>
      <w:proofErr w:type="spellStart"/>
      <w:r>
        <w:rPr>
          <w:b/>
          <w:bCs/>
          <w:color w:val="000000"/>
          <w:position w:val="7"/>
          <w:sz w:val="22"/>
          <w:szCs w:val="22"/>
        </w:rPr>
        <w:t>st</w:t>
      </w:r>
      <w:proofErr w:type="spellEnd"/>
      <w:r>
        <w:rPr>
          <w:b/>
          <w:bCs/>
          <w:color w:val="000000"/>
          <w:sz w:val="22"/>
          <w:szCs w:val="22"/>
        </w:rPr>
        <w:t xml:space="preserve"> 2023, regarding their joint administrative failures regarding RFR regulation. </w:t>
      </w:r>
      <w:r>
        <w:rPr>
          <w:rFonts w:cs="Arial"/>
          <w:b/>
          <w:bCs/>
          <w:color w:val="0070C0"/>
          <w:sz w:val="22"/>
          <w:szCs w:val="22"/>
        </w:rPr>
        <w:t xml:space="preserve"> </w:t>
      </w:r>
      <w:r>
        <w:rPr>
          <w:rFonts w:cs="Arial"/>
          <w:b/>
          <w:bCs/>
          <w:color w:val="000000"/>
          <w:sz w:val="22"/>
          <w:szCs w:val="22"/>
        </w:rPr>
        <w:t xml:space="preserve">(Case number Z2309835) </w:t>
      </w:r>
    </w:p>
    <w:p w14:paraId="237F4FC6" w14:textId="77777777" w:rsidR="002B7465" w:rsidRDefault="002B7465">
      <w:pPr>
        <w:tabs>
          <w:tab w:val="left" w:pos="709"/>
        </w:tabs>
        <w:spacing w:line="288" w:lineRule="auto"/>
        <w:rPr>
          <w:rFonts w:hint="eastAsia"/>
          <w:color w:val="000000"/>
          <w:sz w:val="22"/>
          <w:szCs w:val="22"/>
        </w:rPr>
      </w:pPr>
    </w:p>
    <w:p w14:paraId="66241E3E" w14:textId="2007A698" w:rsidR="002B7465" w:rsidRDefault="00000000">
      <w:pPr>
        <w:tabs>
          <w:tab w:val="left" w:pos="709"/>
        </w:tabs>
        <w:spacing w:line="288" w:lineRule="auto"/>
        <w:rPr>
          <w:rFonts w:hint="eastAsia"/>
          <w:color w:val="000000"/>
          <w:sz w:val="22"/>
          <w:szCs w:val="22"/>
        </w:rPr>
      </w:pPr>
      <w:r>
        <w:rPr>
          <w:rFonts w:cs="Arial"/>
          <w:color w:val="000000"/>
          <w:sz w:val="22"/>
          <w:szCs w:val="22"/>
        </w:rPr>
        <w:t>The case address</w:t>
      </w:r>
      <w:r w:rsidR="001E039A">
        <w:rPr>
          <w:rFonts w:cs="Arial"/>
          <w:color w:val="000000"/>
          <w:sz w:val="22"/>
          <w:szCs w:val="22"/>
        </w:rPr>
        <w:t>es</w:t>
      </w:r>
      <w:r>
        <w:rPr>
          <w:rFonts w:cs="Arial"/>
          <w:color w:val="000000"/>
          <w:sz w:val="22"/>
          <w:szCs w:val="22"/>
        </w:rPr>
        <w:t xml:space="preserve"> the </w:t>
      </w:r>
      <w:r>
        <w:rPr>
          <w:color w:val="000000"/>
          <w:sz w:val="22"/>
          <w:szCs w:val="22"/>
        </w:rPr>
        <w:t xml:space="preserve">government’s failure to inform local planning authorities that they are the competent </w:t>
      </w:r>
      <w:proofErr w:type="spellStart"/>
      <w:r>
        <w:rPr>
          <w:color w:val="000000"/>
          <w:sz w:val="22"/>
          <w:szCs w:val="22"/>
        </w:rPr>
        <w:t>authorityresponsible</w:t>
      </w:r>
      <w:proofErr w:type="spellEnd"/>
      <w:r>
        <w:rPr>
          <w:color w:val="000000"/>
          <w:sz w:val="22"/>
          <w:szCs w:val="22"/>
        </w:rPr>
        <w:t xml:space="preserve"> for risk reconciling health and environmental effects (European Electronics Communications Code EECC Recital 106). The Judicial Review addresses the fact that it is only the local panning authorities who issue general authorisations and thus it is the LPAS who needs to apply precaution and consider recent science as specified in the procedural standard under paragraph 19 of the 1999/519/EC. The LPAs are the ‘member state’ representative who apply EECC Article 45 2h) and the 1999/519/EC recommendations. ICNIRP guidelines are not a standard and even though suggested as an option within the recommendations, they remain a guideline only.</w:t>
      </w:r>
    </w:p>
    <w:p w14:paraId="12A91D06" w14:textId="77777777" w:rsidR="002B7465" w:rsidRDefault="002B7465">
      <w:pPr>
        <w:tabs>
          <w:tab w:val="left" w:pos="709"/>
        </w:tabs>
        <w:spacing w:line="288" w:lineRule="auto"/>
        <w:rPr>
          <w:rFonts w:hint="eastAsia"/>
          <w:color w:val="000000"/>
          <w:sz w:val="22"/>
          <w:szCs w:val="22"/>
        </w:rPr>
      </w:pPr>
    </w:p>
    <w:p w14:paraId="7CCB2340" w14:textId="608ED030" w:rsidR="002B7465" w:rsidRDefault="00000000">
      <w:pPr>
        <w:tabs>
          <w:tab w:val="left" w:pos="709"/>
        </w:tabs>
        <w:spacing w:line="288" w:lineRule="auto"/>
        <w:rPr>
          <w:rFonts w:hint="eastAsia"/>
          <w:color w:val="069A2E"/>
          <w:sz w:val="22"/>
          <w:szCs w:val="22"/>
        </w:rPr>
      </w:pPr>
      <w:r>
        <w:rPr>
          <w:rFonts w:cs="Arial"/>
          <w:bCs/>
          <w:color w:val="000000"/>
          <w:sz w:val="22"/>
          <w:szCs w:val="22"/>
        </w:rPr>
        <w:t>For a deep analysis please see the submission:</w:t>
      </w:r>
    </w:p>
    <w:p w14:paraId="181457AC" w14:textId="77777777" w:rsidR="002B7465" w:rsidRDefault="00000000">
      <w:pPr>
        <w:tabs>
          <w:tab w:val="left" w:pos="709"/>
        </w:tabs>
        <w:spacing w:line="288" w:lineRule="auto"/>
        <w:rPr>
          <w:rFonts w:ascii="Calibri" w:hAnsi="Calibri"/>
          <w:sz w:val="22"/>
          <w:szCs w:val="22"/>
        </w:rPr>
      </w:pPr>
      <w:hyperlink r:id="rId8">
        <w:r>
          <w:rPr>
            <w:rStyle w:val="Hyperlink"/>
            <w:rFonts w:ascii="Calibri" w:hAnsi="Calibri"/>
            <w:sz w:val="22"/>
            <w:szCs w:val="22"/>
          </w:rPr>
          <w:t>https://safetechinternational.org/wp-content/uploads/2023/09/EECCsubmission12-9-2023-info-version.pdf</w:t>
        </w:r>
      </w:hyperlink>
    </w:p>
    <w:p w14:paraId="5F741A0E" w14:textId="77777777" w:rsidR="002B7465" w:rsidRDefault="002B7465">
      <w:pPr>
        <w:pStyle w:val="standard0"/>
        <w:spacing w:before="0" w:after="0" w:line="288" w:lineRule="auto"/>
        <w:rPr>
          <w:rFonts w:cs="Arial" w:hint="eastAsia"/>
        </w:rPr>
      </w:pPr>
    </w:p>
    <w:p w14:paraId="04186A40" w14:textId="77777777" w:rsidR="002B7465" w:rsidRDefault="00000000">
      <w:pPr>
        <w:spacing w:line="288" w:lineRule="auto"/>
        <w:rPr>
          <w:rFonts w:hint="eastAsia"/>
        </w:rPr>
      </w:pPr>
      <w:r>
        <w:rPr>
          <w:rFonts w:cs="Arial"/>
          <w:b/>
          <w:bCs/>
          <w:color w:val="000000"/>
          <w:sz w:val="22"/>
          <w:szCs w:val="22"/>
        </w:rPr>
        <w:t xml:space="preserve">It is possible to register your interest in the outcome of the EECC challenge by emailing Claire Jones </w:t>
      </w:r>
      <w:hyperlink r:id="rId9">
        <w:r>
          <w:rPr>
            <w:rStyle w:val="Hyperlink"/>
            <w:rFonts w:cs="Arial"/>
            <w:b/>
            <w:bCs/>
            <w:sz w:val="22"/>
            <w:szCs w:val="22"/>
            <w:u w:val="none"/>
            <w:lang w:bidi="ar-SA"/>
          </w:rPr>
          <w:t>Claire.jones@governmentlegal.gov.uk</w:t>
        </w:r>
      </w:hyperlink>
      <w:r>
        <w:rPr>
          <w:rFonts w:cs="Arial"/>
          <w:b/>
          <w:bCs/>
          <w:color w:val="000000"/>
          <w:sz w:val="22"/>
          <w:szCs w:val="22"/>
        </w:rPr>
        <w:t xml:space="preserve"> representing solicitor for the Department of Levelling Up, Housing and Communities (DLUHC), quoting case number Z2309835.</w:t>
      </w:r>
    </w:p>
    <w:p w14:paraId="6B95CA62" w14:textId="77777777" w:rsidR="002B7465" w:rsidRDefault="002B7465">
      <w:pPr>
        <w:pStyle w:val="standard0"/>
        <w:spacing w:before="0" w:after="0" w:line="288" w:lineRule="auto"/>
        <w:rPr>
          <w:rFonts w:cs="Arial" w:hint="eastAsia"/>
          <w:sz w:val="22"/>
          <w:szCs w:val="22"/>
        </w:rPr>
      </w:pPr>
    </w:p>
    <w:p w14:paraId="6C81FEC5" w14:textId="77777777" w:rsidR="002B7465" w:rsidRDefault="00000000">
      <w:pPr>
        <w:pStyle w:val="Heading3"/>
        <w:spacing w:before="0" w:after="0" w:line="288" w:lineRule="auto"/>
        <w:rPr>
          <w:rFonts w:hint="eastAsia"/>
          <w:color w:val="3465A4"/>
          <w:sz w:val="24"/>
          <w:szCs w:val="24"/>
        </w:rPr>
      </w:pPr>
      <w:bookmarkStart w:id="16" w:name="__RefHeading___Toc6553_2626648583"/>
      <w:bookmarkEnd w:id="16"/>
      <w:r>
        <w:rPr>
          <w:rFonts w:cs="Arial"/>
          <w:color w:val="3465A4"/>
          <w:sz w:val="24"/>
          <w:szCs w:val="24"/>
        </w:rPr>
        <w:t>A1.4) THE NATURAL ENVIRONMENT AND RURAL COMMUNITIES ACT 2006 (NERC ACT)</w:t>
      </w:r>
    </w:p>
    <w:p w14:paraId="73F16D55" w14:textId="61D59967" w:rsidR="002B7465" w:rsidRDefault="00000000">
      <w:pPr>
        <w:pStyle w:val="Standard"/>
        <w:spacing w:line="288" w:lineRule="auto"/>
        <w:rPr>
          <w:rFonts w:ascii="Amiri" w:hAnsi="Amiri" w:hint="eastAsia"/>
          <w:sz w:val="22"/>
          <w:szCs w:val="22"/>
        </w:rPr>
      </w:pPr>
      <w:r>
        <w:rPr>
          <w:rFonts w:ascii="Amiri" w:hAnsi="Amiri" w:cs="Arial"/>
          <w:sz w:val="22"/>
          <w:szCs w:val="22"/>
        </w:rPr>
        <w:t>Many urban species (</w:t>
      </w:r>
      <w:proofErr w:type="spellStart"/>
      <w:r>
        <w:rPr>
          <w:rFonts w:ascii="Amiri" w:hAnsi="Amiri" w:cs="Arial"/>
          <w:sz w:val="22"/>
          <w:szCs w:val="22"/>
        </w:rPr>
        <w:t>incl</w:t>
      </w:r>
      <w:proofErr w:type="spellEnd"/>
      <w:r>
        <w:rPr>
          <w:rFonts w:ascii="Amiri" w:hAnsi="Amiri" w:cs="Arial"/>
          <w:sz w:val="22"/>
          <w:szCs w:val="22"/>
        </w:rPr>
        <w:t xml:space="preserve"> House Sparrow and Starling) are protected by </w:t>
      </w:r>
      <w:r>
        <w:rPr>
          <w:rFonts w:ascii="Amiri" w:hAnsi="Amiri" w:cs="Arial"/>
          <w:b/>
          <w:bCs/>
          <w:sz w:val="22"/>
          <w:szCs w:val="22"/>
        </w:rPr>
        <w:t xml:space="preserve">The Natural Environment and Rural Communities Act 2006 (NERC Act) </w:t>
      </w:r>
      <w:r w:rsidRPr="00962878">
        <w:rPr>
          <w:rFonts w:ascii="Amiri" w:hAnsi="Amiri" w:cs="Arial"/>
          <w:sz w:val="22"/>
          <w:szCs w:val="22"/>
        </w:rPr>
        <w:t>The</w:t>
      </w:r>
      <w:r>
        <w:rPr>
          <w:rFonts w:ascii="Amiri" w:hAnsi="Amiri" w:cs="Arial"/>
          <w:b/>
          <w:bCs/>
          <w:sz w:val="22"/>
          <w:szCs w:val="22"/>
        </w:rPr>
        <w:t xml:space="preserve"> </w:t>
      </w:r>
      <w:r>
        <w:rPr>
          <w:rFonts w:ascii="Amiri" w:hAnsi="Amiri" w:cs="Arial"/>
          <w:sz w:val="22"/>
          <w:szCs w:val="22"/>
        </w:rPr>
        <w:t xml:space="preserve">statutory duty is set out in Section 40 of the NERC Act states that </w:t>
      </w:r>
      <w:r>
        <w:rPr>
          <w:rFonts w:ascii="Amiri" w:hAnsi="Amiri" w:cs="Arial"/>
          <w:i/>
          <w:iCs/>
          <w:sz w:val="22"/>
          <w:szCs w:val="22"/>
        </w:rPr>
        <w:t xml:space="preserve">"Every public authority must, in exercising its functions, have regard, so far as is consistent with the proper exercise of those functions, to the purpose of conserving </w:t>
      </w:r>
      <w:proofErr w:type="gramStart"/>
      <w:r>
        <w:rPr>
          <w:rFonts w:ascii="Amiri" w:hAnsi="Amiri" w:cs="Arial"/>
          <w:i/>
          <w:iCs/>
          <w:sz w:val="22"/>
          <w:szCs w:val="22"/>
        </w:rPr>
        <w:t>biodiversity"</w:t>
      </w:r>
      <w:proofErr w:type="gramEnd"/>
    </w:p>
    <w:p w14:paraId="0FFC3AE3" w14:textId="77777777" w:rsidR="002B7465" w:rsidRDefault="002B7465">
      <w:pPr>
        <w:pStyle w:val="Standard"/>
        <w:spacing w:line="288" w:lineRule="auto"/>
        <w:rPr>
          <w:rFonts w:ascii="Amiri" w:hAnsi="Amiri" w:cs="Arial" w:hint="eastAsia"/>
          <w:bCs/>
          <w:color w:val="000000"/>
          <w:sz w:val="22"/>
          <w:szCs w:val="22"/>
        </w:rPr>
      </w:pPr>
    </w:p>
    <w:p w14:paraId="5A6BC43F" w14:textId="77777777" w:rsidR="002B7465" w:rsidRDefault="00000000">
      <w:pPr>
        <w:pStyle w:val="Standard"/>
        <w:spacing w:line="288" w:lineRule="auto"/>
        <w:rPr>
          <w:rFonts w:ascii="Amiri" w:hAnsi="Amiri" w:hint="eastAsia"/>
          <w:sz w:val="22"/>
          <w:szCs w:val="22"/>
        </w:rPr>
      </w:pPr>
      <w:r>
        <w:rPr>
          <w:rFonts w:ascii="Amiri" w:hAnsi="Amiri" w:cs="Arial"/>
          <w:bCs/>
          <w:color w:val="000000"/>
          <w:sz w:val="22"/>
          <w:szCs w:val="22"/>
        </w:rPr>
        <w:t xml:space="preserve">Section 41 of the Act refers to a published list of habitats and species which are of principal importance for the conservation of biodiversity in England. The Duty applies to all local authorities, community, parish and town councils, police, fire and health authorities and utility companies. </w:t>
      </w:r>
    </w:p>
    <w:p w14:paraId="73547E0C" w14:textId="77777777" w:rsidR="002B7465" w:rsidRDefault="002B7465">
      <w:pPr>
        <w:pStyle w:val="Standard"/>
        <w:spacing w:line="288" w:lineRule="auto"/>
        <w:rPr>
          <w:rFonts w:cs="Arial"/>
          <w:bCs/>
          <w:color w:val="069A2E"/>
        </w:rPr>
      </w:pPr>
    </w:p>
    <w:p w14:paraId="0B749869" w14:textId="5A6AE7B2" w:rsidR="002B7465" w:rsidRDefault="00000000">
      <w:pPr>
        <w:pStyle w:val="Heading3"/>
        <w:spacing w:before="0" w:after="0" w:line="288" w:lineRule="auto"/>
        <w:rPr>
          <w:rFonts w:cs="Arial" w:hint="eastAsia"/>
          <w:color w:val="3465A4"/>
          <w:sz w:val="24"/>
          <w:szCs w:val="24"/>
        </w:rPr>
      </w:pPr>
      <w:bookmarkStart w:id="17" w:name="__RefHeading___Toc6555_2626648583"/>
      <w:bookmarkEnd w:id="17"/>
      <w:r>
        <w:rPr>
          <w:rFonts w:cs="Arial"/>
          <w:color w:val="3465A4"/>
          <w:sz w:val="24"/>
          <w:szCs w:val="24"/>
        </w:rPr>
        <w:t xml:space="preserve">A1.5) PITTSFIELD – IMMEDIATE 5G HARMS, CEASE &amp; DESIST ORDER SERVED </w:t>
      </w:r>
    </w:p>
    <w:p w14:paraId="1307A5FA" w14:textId="77777777" w:rsidR="002B7465" w:rsidRDefault="00000000">
      <w:pPr>
        <w:pStyle w:val="BodyText"/>
        <w:spacing w:after="0" w:line="288" w:lineRule="auto"/>
        <w:rPr>
          <w:rFonts w:hint="eastAsia"/>
        </w:rPr>
      </w:pPr>
      <w:r>
        <w:t>EXAMPLE OF IMMEDIATE HEALTH EFFECTS FROM 5G INSTALLATION RESULTING IN CEASE AND DESIST</w:t>
      </w:r>
    </w:p>
    <w:p w14:paraId="27771348" w14:textId="77777777" w:rsidR="002B7465" w:rsidRDefault="00000000">
      <w:pPr>
        <w:pStyle w:val="standard0"/>
        <w:tabs>
          <w:tab w:val="left" w:pos="1440"/>
        </w:tabs>
        <w:spacing w:before="0" w:after="0" w:line="288" w:lineRule="auto"/>
        <w:rPr>
          <w:rFonts w:hint="eastAsia"/>
        </w:rPr>
      </w:pPr>
      <w:r>
        <w:rPr>
          <w:rFonts w:cs="Arial"/>
          <w:color w:val="000000"/>
          <w:sz w:val="22"/>
          <w:szCs w:val="22"/>
        </w:rPr>
        <w:t xml:space="preserve">Residents living </w:t>
      </w:r>
      <w:proofErr w:type="gramStart"/>
      <w:r>
        <w:rPr>
          <w:rFonts w:cs="Arial"/>
          <w:color w:val="000000"/>
          <w:sz w:val="22"/>
          <w:szCs w:val="22"/>
        </w:rPr>
        <w:t>in close proximity to</w:t>
      </w:r>
      <w:proofErr w:type="gramEnd"/>
      <w:r>
        <w:rPr>
          <w:rFonts w:cs="Arial"/>
          <w:color w:val="000000"/>
          <w:sz w:val="22"/>
          <w:szCs w:val="22"/>
        </w:rPr>
        <w:t xml:space="preserve"> a mast became sick soon after the switch-on of a 5G mast in </w:t>
      </w:r>
      <w:r>
        <w:rPr>
          <w:rFonts w:cs="Arial"/>
          <w:b/>
          <w:bCs/>
          <w:sz w:val="22"/>
          <w:szCs w:val="22"/>
        </w:rPr>
        <w:t>Pittsfield MA</w:t>
      </w:r>
      <w:r>
        <w:rPr>
          <w:rFonts w:cs="Arial"/>
          <w:sz w:val="22"/>
          <w:szCs w:val="22"/>
        </w:rPr>
        <w:t>.</w:t>
      </w:r>
      <w:r>
        <w:rPr>
          <w:rFonts w:cs="Arial"/>
          <w:color w:val="000000"/>
          <w:sz w:val="22"/>
          <w:szCs w:val="22"/>
        </w:rPr>
        <w:t xml:space="preserve"> </w:t>
      </w:r>
      <w:r>
        <w:rPr>
          <w:rStyle w:val="Hyperlink"/>
          <w:rFonts w:cs="Arial"/>
          <w:sz w:val="22"/>
          <w:szCs w:val="22"/>
          <w:u w:val="none"/>
          <w:lang w:bidi="ar-SA"/>
        </w:rPr>
        <w:t>(</w:t>
      </w:r>
      <w:hyperlink r:id="rId10">
        <w:r>
          <w:rPr>
            <w:rStyle w:val="Hyperlink"/>
            <w:rFonts w:cs="Arial"/>
            <w:sz w:val="22"/>
            <w:szCs w:val="22"/>
            <w:u w:val="none"/>
          </w:rPr>
          <w:t>https://ehtrust.org/pittsfield-ma-board-of-health-unanimously-votes-to-issue-cease-and-desist-for-verizon-cell-tower/</w:t>
        </w:r>
      </w:hyperlink>
      <w:r>
        <w:rPr>
          <w:rStyle w:val="Hyperlink"/>
          <w:rFonts w:cs="Arial"/>
          <w:sz w:val="22"/>
          <w:szCs w:val="22"/>
          <w:u w:val="none"/>
          <w:lang w:bidi="ar-SA"/>
        </w:rPr>
        <w:t>)</w:t>
      </w:r>
    </w:p>
    <w:p w14:paraId="1E2B721F" w14:textId="77777777" w:rsidR="002B7465" w:rsidRDefault="002B7465">
      <w:pPr>
        <w:pStyle w:val="standard0"/>
        <w:spacing w:before="0" w:after="0" w:line="288" w:lineRule="auto"/>
        <w:rPr>
          <w:rFonts w:cs="Arial" w:hint="eastAsia"/>
          <w:color w:val="000000"/>
          <w:sz w:val="22"/>
          <w:szCs w:val="22"/>
        </w:rPr>
      </w:pPr>
    </w:p>
    <w:p w14:paraId="03C5D540" w14:textId="77777777" w:rsidR="002B7465" w:rsidRDefault="00000000">
      <w:pPr>
        <w:pStyle w:val="standard0"/>
        <w:spacing w:before="0" w:after="0" w:line="288" w:lineRule="auto"/>
        <w:rPr>
          <w:rFonts w:hint="eastAsia"/>
        </w:rPr>
      </w:pPr>
      <w:r>
        <w:rPr>
          <w:rFonts w:cs="Arial"/>
          <w:color w:val="000000"/>
          <w:sz w:val="22"/>
          <w:szCs w:val="22"/>
        </w:rPr>
        <w:t>The local council  served a ‘Cease and Desist’ notice on the Telecoms company Verizon,</w:t>
      </w:r>
      <w:r>
        <w:rPr>
          <w:rFonts w:cs="Arial"/>
          <w:sz w:val="22"/>
          <w:szCs w:val="22"/>
        </w:rPr>
        <w:t xml:space="preserve"> </w:t>
      </w:r>
      <w:r>
        <w:rPr>
          <w:rFonts w:cs="Arial"/>
          <w:i/>
          <w:iCs/>
          <w:sz w:val="22"/>
          <w:szCs w:val="22"/>
        </w:rPr>
        <w:t xml:space="preserve"> </w:t>
      </w:r>
      <w:r>
        <w:rPr>
          <w:rFonts w:cs="Arial"/>
          <w:i/>
          <w:iCs/>
          <w:color w:val="342A06"/>
          <w:sz w:val="22"/>
          <w:szCs w:val="22"/>
        </w:rPr>
        <w:t xml:space="preserve">”So on some level for me, win or lose this long battle with a company that’s going to look at this on a global scale, at some point, I’m going to have to sit back 20 years later and say, did I do everything I could to safeguard the residents in Pittsfield when I was in that position or did I not? I guess that’s the way I </w:t>
      </w:r>
      <w:proofErr w:type="gramStart"/>
      <w:r>
        <w:rPr>
          <w:rFonts w:cs="Arial"/>
          <w:i/>
          <w:iCs/>
          <w:color w:val="342A06"/>
          <w:sz w:val="22"/>
          <w:szCs w:val="22"/>
        </w:rPr>
        <w:t>have to</w:t>
      </w:r>
      <w:proofErr w:type="gramEnd"/>
      <w:r>
        <w:rPr>
          <w:rFonts w:cs="Arial"/>
          <w:i/>
          <w:iCs/>
          <w:color w:val="342A06"/>
          <w:sz w:val="22"/>
          <w:szCs w:val="22"/>
        </w:rPr>
        <w:t xml:space="preserve"> think about it.”</w:t>
      </w:r>
    </w:p>
    <w:p w14:paraId="57929E63" w14:textId="77777777" w:rsidR="002B7465" w:rsidRDefault="00000000">
      <w:pPr>
        <w:pStyle w:val="standard0"/>
        <w:spacing w:before="0" w:after="0" w:line="288" w:lineRule="auto"/>
        <w:rPr>
          <w:rFonts w:hint="eastAsia"/>
        </w:rPr>
      </w:pPr>
      <w:r>
        <w:rPr>
          <w:rFonts w:cs="Arial"/>
          <w:i/>
          <w:iCs/>
          <w:color w:val="342A06"/>
          <w:sz w:val="22"/>
          <w:szCs w:val="22"/>
        </w:rPr>
        <w:t>A1.6</w:t>
      </w:r>
    </w:p>
    <w:p w14:paraId="2ED32743" w14:textId="77777777" w:rsidR="002B7465" w:rsidRDefault="00000000">
      <w:pPr>
        <w:pStyle w:val="standard0"/>
        <w:spacing w:before="0" w:after="0" w:line="288" w:lineRule="auto"/>
        <w:rPr>
          <w:rFonts w:hint="eastAsia"/>
        </w:rPr>
      </w:pPr>
      <w:r>
        <w:rPr>
          <w:rFonts w:cs="Arial"/>
          <w:i/>
          <w:iCs/>
          <w:color w:val="342A06"/>
          <w:sz w:val="22"/>
          <w:szCs w:val="22"/>
        </w:rPr>
        <w:t xml:space="preserve">Wright Cas Add </w:t>
      </w:r>
      <w:proofErr w:type="gramStart"/>
      <w:r>
        <w:rPr>
          <w:rFonts w:cs="Arial"/>
          <w:i/>
          <w:iCs/>
          <w:color w:val="342A06"/>
          <w:sz w:val="22"/>
          <w:szCs w:val="22"/>
        </w:rPr>
        <w:t>link</w:t>
      </w:r>
      <w:proofErr w:type="gramEnd"/>
    </w:p>
    <w:p w14:paraId="7596135F" w14:textId="77777777" w:rsidR="002B7465" w:rsidRDefault="002B7465">
      <w:pPr>
        <w:pStyle w:val="Heading2"/>
        <w:spacing w:before="0" w:after="0" w:line="288" w:lineRule="auto"/>
        <w:rPr>
          <w:rFonts w:hint="eastAsia"/>
        </w:rPr>
      </w:pPr>
      <w:bookmarkStart w:id="18" w:name="__RefHeading___Toc6557_2626648583"/>
      <w:bookmarkEnd w:id="18"/>
    </w:p>
    <w:p w14:paraId="19722225" w14:textId="52478B5A" w:rsidR="002B7465" w:rsidRDefault="00000000">
      <w:pPr>
        <w:pStyle w:val="Heading2"/>
        <w:spacing w:before="0" w:after="0" w:line="288" w:lineRule="auto"/>
        <w:rPr>
          <w:rFonts w:cs="Arial" w:hint="eastAsia"/>
          <w:color w:val="3465A4"/>
          <w:sz w:val="24"/>
          <w:szCs w:val="24"/>
        </w:rPr>
      </w:pPr>
      <w:r>
        <w:rPr>
          <w:rFonts w:cs="Arial"/>
          <w:color w:val="3465A4"/>
          <w:sz w:val="24"/>
          <w:szCs w:val="24"/>
        </w:rPr>
        <w:t>A2) HEALTH &amp; ENVIRONMENT EVIDENCE</w:t>
      </w:r>
    </w:p>
    <w:p w14:paraId="4A949805" w14:textId="77777777" w:rsidR="002B7465" w:rsidRDefault="002B7465" w:rsidP="00962878">
      <w:pPr>
        <w:pStyle w:val="BodyText"/>
        <w:rPr>
          <w:rFonts w:hint="eastAsia"/>
        </w:rPr>
      </w:pPr>
    </w:p>
    <w:p w14:paraId="4198C298" w14:textId="77777777" w:rsidR="002B7465" w:rsidRDefault="00000000">
      <w:pPr>
        <w:pStyle w:val="Heading3"/>
        <w:spacing w:before="0" w:after="0" w:line="288" w:lineRule="auto"/>
        <w:rPr>
          <w:rFonts w:hint="eastAsia"/>
          <w:color w:val="3465A4"/>
          <w:sz w:val="24"/>
          <w:szCs w:val="24"/>
        </w:rPr>
      </w:pPr>
      <w:bookmarkStart w:id="19" w:name="__RefHeading___Toc6954_2626648583"/>
      <w:bookmarkEnd w:id="19"/>
      <w:r>
        <w:rPr>
          <w:rFonts w:cs="Arial"/>
          <w:color w:val="3465A4"/>
          <w:sz w:val="24"/>
          <w:szCs w:val="24"/>
        </w:rPr>
        <w:t>A2.1) 500M SETBACK</w:t>
      </w:r>
    </w:p>
    <w:p w14:paraId="1C6E25B3" w14:textId="77777777" w:rsidR="002B7465" w:rsidRDefault="00000000">
      <w:pPr>
        <w:spacing w:line="288" w:lineRule="auto"/>
        <w:rPr>
          <w:rFonts w:hint="eastAsia"/>
          <w:sz w:val="22"/>
          <w:szCs w:val="22"/>
        </w:rPr>
      </w:pPr>
      <w:r>
        <w:rPr>
          <w:rFonts w:cs="Arial"/>
          <w:sz w:val="22"/>
          <w:szCs w:val="22"/>
        </w:rPr>
        <w:t xml:space="preserve">The </w:t>
      </w:r>
      <w:r>
        <w:rPr>
          <w:rFonts w:cs="Arial"/>
          <w:b/>
          <w:bCs/>
          <w:sz w:val="22"/>
          <w:szCs w:val="22"/>
        </w:rPr>
        <w:t>New Hampshire Commission</w:t>
      </w:r>
      <w:r>
        <w:rPr>
          <w:rFonts w:cs="Arial"/>
          <w:sz w:val="22"/>
          <w:szCs w:val="22"/>
        </w:rPr>
        <w:t xml:space="preserve"> requires wireless telecommunication antennas to be placed at least 1,640 feet (500m) from residents, parks, playgrounds, hospitals, nursing homes, day care centres and schools. </w:t>
      </w:r>
    </w:p>
    <w:p w14:paraId="48A90DC2" w14:textId="77777777" w:rsidR="002B7465" w:rsidRDefault="002B7465">
      <w:pPr>
        <w:spacing w:line="288" w:lineRule="auto"/>
        <w:rPr>
          <w:rFonts w:cs="Arial" w:hint="eastAsia"/>
          <w:sz w:val="22"/>
          <w:szCs w:val="22"/>
        </w:rPr>
      </w:pPr>
    </w:p>
    <w:p w14:paraId="18819B21" w14:textId="77777777" w:rsidR="002B7465" w:rsidRDefault="00000000">
      <w:pPr>
        <w:pStyle w:val="ListParagraph"/>
        <w:spacing w:line="288" w:lineRule="auto"/>
        <w:ind w:left="0"/>
        <w:rPr>
          <w:rFonts w:hint="eastAsia"/>
          <w:sz w:val="22"/>
          <w:szCs w:val="22"/>
        </w:rPr>
      </w:pPr>
      <w:r>
        <w:rPr>
          <w:rFonts w:cs="Arial"/>
          <w:sz w:val="22"/>
          <w:szCs w:val="22"/>
        </w:rPr>
        <w:t xml:space="preserve">The </w:t>
      </w:r>
      <w:r>
        <w:rPr>
          <w:rFonts w:cs="Arial"/>
          <w:b/>
          <w:bCs/>
          <w:sz w:val="22"/>
          <w:szCs w:val="22"/>
        </w:rPr>
        <w:t>13-strong expert commission</w:t>
      </w:r>
      <w:r>
        <w:rPr>
          <w:rFonts w:cs="Arial"/>
          <w:sz w:val="22"/>
          <w:szCs w:val="22"/>
        </w:rPr>
        <w:t xml:space="preserve"> was formed through legislation to include experts in: physics, toxicology, electro-</w:t>
      </w:r>
      <w:proofErr w:type="spellStart"/>
      <w:r>
        <w:rPr>
          <w:rFonts w:cs="Arial"/>
          <w:sz w:val="22"/>
          <w:szCs w:val="22"/>
        </w:rPr>
        <w:t>magnetics</w:t>
      </w:r>
      <w:proofErr w:type="spellEnd"/>
      <w:r>
        <w:rPr>
          <w:rFonts w:cs="Arial"/>
          <w:sz w:val="22"/>
          <w:szCs w:val="22"/>
        </w:rPr>
        <w:t xml:space="preserve">, epidemiology, biostatistics, occupational health medicine, public health policy, </w:t>
      </w:r>
      <w:proofErr w:type="gramStart"/>
      <w:r>
        <w:rPr>
          <w:rFonts w:cs="Arial"/>
          <w:sz w:val="22"/>
          <w:szCs w:val="22"/>
        </w:rPr>
        <w:t>business</w:t>
      </w:r>
      <w:proofErr w:type="gramEnd"/>
      <w:r>
        <w:rPr>
          <w:rFonts w:cs="Arial"/>
          <w:sz w:val="22"/>
          <w:szCs w:val="22"/>
        </w:rPr>
        <w:t xml:space="preserve"> and law.  This recommendation is evidence based, and such evidence is globally applicable.  Transcript pertinent to the 500m setback Dr Kent Chamberlain:</w:t>
      </w:r>
      <w:r>
        <w:rPr>
          <w:rFonts w:cs="Arial"/>
          <w:color w:val="000080"/>
          <w:sz w:val="22"/>
          <w:szCs w:val="22"/>
        </w:rPr>
        <w:t xml:space="preserve"> </w:t>
      </w:r>
      <w:r>
        <w:rPr>
          <w:rFonts w:cs="Arial"/>
          <w:color w:val="000000"/>
          <w:sz w:val="22"/>
          <w:szCs w:val="22"/>
        </w:rPr>
        <w:t>November 2021</w:t>
      </w:r>
    </w:p>
    <w:p w14:paraId="3F28F7B0" w14:textId="77777777" w:rsidR="002B7465" w:rsidRDefault="00000000">
      <w:pPr>
        <w:pStyle w:val="ListParagraph"/>
        <w:spacing w:line="288" w:lineRule="auto"/>
        <w:ind w:left="0"/>
        <w:rPr>
          <w:rFonts w:hint="eastAsia"/>
        </w:rPr>
      </w:pPr>
      <w:hyperlink r:id="rId11">
        <w:r>
          <w:rPr>
            <w:rStyle w:val="Hyperlink"/>
            <w:rFonts w:cs="Arial"/>
            <w:sz w:val="22"/>
            <w:szCs w:val="22"/>
            <w:u w:val="none"/>
          </w:rPr>
          <w:t>https://www.youtube.com/watch?v=DWK74ie7krc</w:t>
        </w:r>
      </w:hyperlink>
    </w:p>
    <w:p w14:paraId="21B2E558" w14:textId="77777777" w:rsidR="002B7465" w:rsidRDefault="002B7465">
      <w:pPr>
        <w:pStyle w:val="BodyText"/>
        <w:spacing w:after="0" w:line="288" w:lineRule="auto"/>
        <w:rPr>
          <w:rFonts w:cs="Arial" w:hint="eastAsia"/>
          <w:szCs w:val="22"/>
        </w:rPr>
      </w:pPr>
    </w:p>
    <w:p w14:paraId="6715229B" w14:textId="77777777" w:rsidR="002B7465" w:rsidRDefault="00000000">
      <w:pPr>
        <w:pStyle w:val="Heading3"/>
        <w:spacing w:before="0" w:after="0" w:line="288" w:lineRule="auto"/>
        <w:rPr>
          <w:rFonts w:cs="Arial" w:hint="eastAsia"/>
          <w:color w:val="3465A4"/>
          <w:sz w:val="24"/>
          <w:szCs w:val="24"/>
        </w:rPr>
      </w:pPr>
      <w:bookmarkStart w:id="20" w:name="__RefHeading___Toc6559_2626648583"/>
      <w:bookmarkEnd w:id="20"/>
      <w:r>
        <w:rPr>
          <w:rFonts w:cs="Arial"/>
          <w:color w:val="3465A4"/>
          <w:sz w:val="24"/>
          <w:szCs w:val="24"/>
        </w:rPr>
        <w:t xml:space="preserve">A2.2) LOPEZ ET AL </w:t>
      </w:r>
    </w:p>
    <w:p w14:paraId="30DD72A5" w14:textId="77777777" w:rsidR="002B7465" w:rsidRDefault="00000000">
      <w:pPr>
        <w:pStyle w:val="BodyText"/>
        <w:spacing w:after="0" w:line="288" w:lineRule="auto"/>
        <w:rPr>
          <w:rFonts w:hint="eastAsia"/>
        </w:rPr>
      </w:pPr>
      <w:bookmarkStart w:id="21" w:name="__RefHeading___Toc6561_2626648583"/>
      <w:bookmarkEnd w:id="21"/>
      <w:r>
        <w:rPr>
          <w:rFonts w:cs="Arial"/>
        </w:rPr>
        <w:t xml:space="preserve">'What is the radiation prior to 5G?'  March 2021. A correlation study between measurements in situ and in real time and epidemiological indicators in </w:t>
      </w:r>
      <w:proofErr w:type="spellStart"/>
      <w:r>
        <w:rPr>
          <w:rFonts w:cs="Arial"/>
        </w:rPr>
        <w:t>Vallecas</w:t>
      </w:r>
      <w:proofErr w:type="spellEnd"/>
      <w:r>
        <w:rPr>
          <w:rFonts w:cs="Arial"/>
        </w:rPr>
        <w:t xml:space="preserve">, Madrid. The study reports dizziness, </w:t>
      </w:r>
      <w:proofErr w:type="gramStart"/>
      <w:r>
        <w:rPr>
          <w:rFonts w:cs="Arial"/>
        </w:rPr>
        <w:t>headaches</w:t>
      </w:r>
      <w:proofErr w:type="gramEnd"/>
      <w:r>
        <w:rPr>
          <w:rFonts w:cs="Arial"/>
        </w:rPr>
        <w:t xml:space="preserve"> and sleep disturbances.</w:t>
      </w:r>
    </w:p>
    <w:p w14:paraId="3A83F1B8" w14:textId="77777777" w:rsidR="002B7465" w:rsidRDefault="00000000">
      <w:pPr>
        <w:pStyle w:val="BodyText"/>
        <w:spacing w:after="0" w:line="288" w:lineRule="auto"/>
        <w:rPr>
          <w:rFonts w:hint="eastAsia"/>
        </w:rPr>
      </w:pPr>
      <w:hyperlink r:id="rId12">
        <w:r>
          <w:rPr>
            <w:rStyle w:val="Hyperlink"/>
          </w:rPr>
          <w:t>https://pubmed.ncbi.nlm.nih.gov/33434609/</w:t>
        </w:r>
      </w:hyperlink>
    </w:p>
    <w:p w14:paraId="72DCE826" w14:textId="77777777" w:rsidR="002B7465" w:rsidRDefault="002B7465">
      <w:pPr>
        <w:spacing w:line="288" w:lineRule="auto"/>
        <w:rPr>
          <w:rFonts w:cs="Arial" w:hint="eastAsia"/>
          <w:sz w:val="22"/>
          <w:szCs w:val="22"/>
        </w:rPr>
      </w:pPr>
    </w:p>
    <w:p w14:paraId="1FC2DE83" w14:textId="77777777" w:rsidR="002B7465" w:rsidRDefault="00000000">
      <w:pPr>
        <w:pStyle w:val="Heading3"/>
        <w:spacing w:before="0" w:after="0" w:line="288" w:lineRule="auto"/>
        <w:rPr>
          <w:rFonts w:hint="eastAsia"/>
          <w:color w:val="3465A4"/>
          <w:sz w:val="24"/>
          <w:szCs w:val="24"/>
        </w:rPr>
      </w:pPr>
      <w:bookmarkStart w:id="22" w:name="__RefHeading___Toc6563_2626648583"/>
      <w:bookmarkEnd w:id="22"/>
      <w:r>
        <w:rPr>
          <w:color w:val="3465A4"/>
          <w:sz w:val="24"/>
          <w:szCs w:val="24"/>
        </w:rPr>
        <w:t>A2.3) JD PEARCE RECOMMENDS TELECOMS OBSERVE 500m SETBACK TO LIMIT LIABILITY</w:t>
      </w:r>
    </w:p>
    <w:p w14:paraId="11DEFFDD" w14:textId="77777777" w:rsidR="002B7465" w:rsidRDefault="00000000">
      <w:pPr>
        <w:pStyle w:val="BodyText"/>
        <w:spacing w:after="0" w:line="288" w:lineRule="auto"/>
        <w:rPr>
          <w:rFonts w:hint="eastAsia"/>
        </w:rPr>
      </w:pPr>
      <w:bookmarkStart w:id="23" w:name="__RefHeading___Toc7471_2626648583"/>
      <w:bookmarkEnd w:id="23"/>
      <w:r>
        <w:t xml:space="preserve">November 2019 ‘Limiting liability with positioning to minimize the negative health effects of cellular phone </w:t>
      </w:r>
      <w:proofErr w:type="gramStart"/>
      <w:r>
        <w:t>towers'</w:t>
      </w:r>
      <w:proofErr w:type="gramEnd"/>
    </w:p>
    <w:p w14:paraId="330A8492" w14:textId="77777777" w:rsidR="002B7465" w:rsidRDefault="00000000">
      <w:pPr>
        <w:pStyle w:val="BodyText"/>
        <w:spacing w:after="0" w:line="288" w:lineRule="auto"/>
        <w:rPr>
          <w:rFonts w:hint="eastAsia"/>
        </w:rPr>
      </w:pPr>
      <w:r>
        <w:rPr>
          <w:rFonts w:cs="Arial"/>
        </w:rPr>
        <w:t xml:space="preserve">This </w:t>
      </w:r>
      <w:r>
        <w:rPr>
          <w:rFonts w:cs="Arial"/>
          <w:b/>
          <w:bCs/>
        </w:rPr>
        <w:t>JD PEARCE</w:t>
      </w:r>
      <w:r>
        <w:rPr>
          <w:rFonts w:cs="Arial"/>
        </w:rPr>
        <w:t xml:space="preserve"> paper states “There is a large and growing body of evidence that human exposure to RFR from cellular phone base stations causes negative health effects, including both </w:t>
      </w:r>
      <w:proofErr w:type="spellStart"/>
      <w:r>
        <w:rPr>
          <w:rFonts w:cs="Arial"/>
        </w:rPr>
        <w:t>i</w:t>
      </w:r>
      <w:proofErr w:type="spellEnd"/>
      <w:r>
        <w:rPr>
          <w:rFonts w:cs="Arial"/>
        </w:rPr>
        <w:t xml:space="preserve">) neuropsychiatric complaints such as headache, concentration difficulties, memory changes, dizziness, tremors, depressive symptoms, </w:t>
      </w:r>
      <w:proofErr w:type="gramStart"/>
      <w:r>
        <w:rPr>
          <w:rFonts w:cs="Arial"/>
        </w:rPr>
        <w:t>fatigue</w:t>
      </w:r>
      <w:proofErr w:type="gramEnd"/>
      <w:r>
        <w:rPr>
          <w:rFonts w:cs="Arial"/>
        </w:rPr>
        <w:t xml:space="preserve"> and sleep disturbance, and ii) increased incidence of cancer in those living in proximity to a cell-phone transmitter station.</w:t>
      </w:r>
    </w:p>
    <w:p w14:paraId="358CB33A" w14:textId="77777777" w:rsidR="002B7465" w:rsidRDefault="00000000">
      <w:pPr>
        <w:spacing w:line="288" w:lineRule="auto"/>
        <w:rPr>
          <w:rFonts w:hint="eastAsia"/>
        </w:rPr>
      </w:pPr>
      <w:hyperlink r:id="rId13">
        <w:r>
          <w:rPr>
            <w:rStyle w:val="Hyperlink"/>
            <w:rFonts w:cs="Arial"/>
            <w:sz w:val="22"/>
            <w:szCs w:val="22"/>
            <w:u w:val="none"/>
          </w:rPr>
          <w:t>https://www.researchgate.net/publication/337624982_Limiting_liability_with_positioning_to_minimize_negative_health_effects_of_cellular_phone_towers</w:t>
        </w:r>
      </w:hyperlink>
    </w:p>
    <w:p w14:paraId="71C477E8" w14:textId="77777777" w:rsidR="002B7465" w:rsidRDefault="002B7465">
      <w:pPr>
        <w:spacing w:line="288" w:lineRule="auto"/>
        <w:rPr>
          <w:rFonts w:cs="Arial" w:hint="eastAsia"/>
          <w:sz w:val="22"/>
          <w:szCs w:val="22"/>
        </w:rPr>
      </w:pPr>
    </w:p>
    <w:p w14:paraId="1938F632" w14:textId="77777777" w:rsidR="002B7465" w:rsidRDefault="00000000">
      <w:pPr>
        <w:pStyle w:val="Heading3"/>
        <w:spacing w:before="0" w:after="0" w:line="288" w:lineRule="auto"/>
        <w:rPr>
          <w:rFonts w:cs="Arial" w:hint="eastAsia"/>
          <w:color w:val="3465A4"/>
          <w:sz w:val="24"/>
          <w:szCs w:val="24"/>
        </w:rPr>
      </w:pPr>
      <w:bookmarkStart w:id="24" w:name="__RefHeading___Toc6565_2626648583"/>
      <w:bookmarkEnd w:id="24"/>
      <w:r>
        <w:rPr>
          <w:rFonts w:cs="Arial"/>
          <w:color w:val="3465A4"/>
          <w:sz w:val="24"/>
          <w:szCs w:val="24"/>
        </w:rPr>
        <w:t xml:space="preserve">A2.4) MOBILE PHONE MAST HEALTH EFFECTS: </w:t>
      </w:r>
      <w:r w:rsidRPr="00962878">
        <w:rPr>
          <w:rFonts w:cs="Arial" w:hint="eastAsia"/>
          <w:b w:val="0"/>
          <w:bCs w:val="0"/>
          <w:color w:val="3465A4"/>
          <w:sz w:val="24"/>
          <w:szCs w:val="24"/>
        </w:rPr>
        <w:t xml:space="preserve">J. </w:t>
      </w:r>
      <w:proofErr w:type="spellStart"/>
      <w:r w:rsidRPr="00962878">
        <w:rPr>
          <w:rFonts w:cs="Arial" w:hint="eastAsia"/>
          <w:b w:val="0"/>
          <w:bCs w:val="0"/>
          <w:color w:val="3465A4"/>
          <w:sz w:val="24"/>
          <w:szCs w:val="24"/>
        </w:rPr>
        <w:t>Moskovic</w:t>
      </w:r>
      <w:proofErr w:type="spellEnd"/>
      <w:r w:rsidRPr="00962878">
        <w:rPr>
          <w:rFonts w:cs="Arial" w:hint="eastAsia"/>
          <w:b w:val="0"/>
          <w:bCs w:val="0"/>
          <w:color w:val="3465A4"/>
          <w:sz w:val="24"/>
          <w:szCs w:val="24"/>
        </w:rPr>
        <w:t xml:space="preserve"> March 2021</w:t>
      </w:r>
    </w:p>
    <w:p w14:paraId="394999D5" w14:textId="77777777" w:rsidR="002B7465" w:rsidRDefault="00000000">
      <w:pPr>
        <w:spacing w:line="288" w:lineRule="auto"/>
        <w:rPr>
          <w:rFonts w:hint="eastAsia"/>
        </w:rPr>
      </w:pPr>
      <w:hyperlink r:id="rId14">
        <w:r>
          <w:rPr>
            <w:rStyle w:val="Hyperlink"/>
            <w:rFonts w:cs="Arial"/>
            <w:sz w:val="22"/>
            <w:szCs w:val="22"/>
            <w:u w:val="none"/>
          </w:rPr>
          <w:t>https://www.saferemr.com/2015/04/cell-tower-health-effects.html</w:t>
        </w:r>
      </w:hyperlink>
    </w:p>
    <w:p w14:paraId="579F46A9" w14:textId="77777777" w:rsidR="002B7465" w:rsidRDefault="002B7465">
      <w:pPr>
        <w:pStyle w:val="BodyText"/>
        <w:spacing w:after="0" w:line="288" w:lineRule="auto"/>
        <w:rPr>
          <w:rFonts w:cs="Arial" w:hint="eastAsia"/>
          <w:szCs w:val="22"/>
        </w:rPr>
      </w:pPr>
    </w:p>
    <w:p w14:paraId="1466A9C6" w14:textId="77777777" w:rsidR="002B7465" w:rsidRDefault="00000000">
      <w:pPr>
        <w:pStyle w:val="Heading3"/>
        <w:spacing w:before="0" w:after="0" w:line="288" w:lineRule="auto"/>
        <w:rPr>
          <w:rFonts w:hint="eastAsia"/>
          <w:color w:val="3465A4"/>
          <w:sz w:val="24"/>
          <w:szCs w:val="24"/>
        </w:rPr>
      </w:pPr>
      <w:bookmarkStart w:id="25" w:name="__RefHeading___Toc6567_2626648583"/>
      <w:bookmarkEnd w:id="25"/>
      <w:r>
        <w:rPr>
          <w:color w:val="3465A4"/>
          <w:sz w:val="24"/>
          <w:szCs w:val="24"/>
        </w:rPr>
        <w:t>A2.5) THE FIRST SIX STUDIES OF ‘IN SITU’ 5G</w:t>
      </w:r>
    </w:p>
    <w:p w14:paraId="418BC561" w14:textId="77777777" w:rsidR="002B7465" w:rsidRDefault="00000000">
      <w:pPr>
        <w:spacing w:line="288" w:lineRule="auto"/>
        <w:rPr>
          <w:rFonts w:hint="eastAsia"/>
        </w:rPr>
      </w:pPr>
      <w:r>
        <w:t>Studies of in situ 5G record immediate (within couple of days to 6 weeks) adverse health effects of 5G RFR published in 2023.</w:t>
      </w:r>
    </w:p>
    <w:p w14:paraId="27BDEB1C" w14:textId="1DB9E6EC" w:rsidR="002B7465" w:rsidRDefault="00000000">
      <w:pPr>
        <w:spacing w:line="288" w:lineRule="auto"/>
        <w:rPr>
          <w:rStyle w:val="Hyperlink"/>
          <w:rFonts w:cs="Arial" w:hint="eastAsia"/>
          <w:sz w:val="22"/>
          <w:szCs w:val="22"/>
          <w:u w:val="none"/>
        </w:rPr>
      </w:pPr>
      <w:hyperlink r:id="rId15">
        <w:r>
          <w:rPr>
            <w:rStyle w:val="Hyperlink"/>
            <w:sz w:val="22"/>
            <w:szCs w:val="22"/>
          </w:rPr>
          <w:t>https://www.journalserapublications.com/issues/v01/i01/JEPL_1020240101001.pdf</w:t>
        </w:r>
      </w:hyperlink>
    </w:p>
    <w:p w14:paraId="3BF16445" w14:textId="77777777" w:rsidR="002B7465" w:rsidRDefault="002B7465">
      <w:pPr>
        <w:pStyle w:val="BodyText"/>
        <w:spacing w:after="0" w:line="288" w:lineRule="auto"/>
        <w:rPr>
          <w:rFonts w:hint="eastAsia"/>
          <w:szCs w:val="22"/>
        </w:rPr>
      </w:pPr>
    </w:p>
    <w:p w14:paraId="36A06F67" w14:textId="77777777" w:rsidR="002B7465" w:rsidRDefault="00000000">
      <w:pPr>
        <w:spacing w:line="288" w:lineRule="auto"/>
        <w:rPr>
          <w:rFonts w:hint="eastAsia"/>
          <w:sz w:val="22"/>
          <w:szCs w:val="22"/>
        </w:rPr>
      </w:pPr>
      <w:r>
        <w:rPr>
          <w:noProof/>
          <w:sz w:val="22"/>
          <w:szCs w:val="22"/>
        </w:rPr>
        <w:lastRenderedPageBreak/>
        <w:drawing>
          <wp:anchor distT="0" distB="0" distL="0" distR="0" simplePos="0" relativeHeight="2" behindDoc="0" locked="0" layoutInCell="0" allowOverlap="1" wp14:anchorId="06779A6D" wp14:editId="356BF887">
            <wp:simplePos x="0" y="0"/>
            <wp:positionH relativeFrom="column">
              <wp:align>center</wp:align>
            </wp:positionH>
            <wp:positionV relativeFrom="paragraph">
              <wp:posOffset>635</wp:posOffset>
            </wp:positionV>
            <wp:extent cx="5886450" cy="370840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6"/>
                    <a:stretch>
                      <a:fillRect/>
                    </a:stretch>
                  </pic:blipFill>
                  <pic:spPr bwMode="auto">
                    <a:xfrm>
                      <a:off x="0" y="0"/>
                      <a:ext cx="5886450" cy="3708400"/>
                    </a:xfrm>
                    <a:prstGeom prst="rect">
                      <a:avLst/>
                    </a:prstGeom>
                  </pic:spPr>
                </pic:pic>
              </a:graphicData>
            </a:graphic>
          </wp:anchor>
        </w:drawing>
      </w:r>
    </w:p>
    <w:p w14:paraId="43DE8F12" w14:textId="77777777" w:rsidR="002B7465" w:rsidRDefault="002B7465">
      <w:pPr>
        <w:pStyle w:val="BodyText"/>
        <w:spacing w:after="0" w:line="288" w:lineRule="auto"/>
        <w:rPr>
          <w:rFonts w:cs="Arial" w:hint="eastAsia"/>
          <w:szCs w:val="22"/>
        </w:rPr>
      </w:pPr>
    </w:p>
    <w:p w14:paraId="4C237869" w14:textId="77777777" w:rsidR="002B7465" w:rsidRDefault="002B7465">
      <w:pPr>
        <w:pStyle w:val="Heading3"/>
        <w:spacing w:before="0" w:after="0" w:line="288" w:lineRule="auto"/>
        <w:rPr>
          <w:rFonts w:hint="eastAsia"/>
        </w:rPr>
      </w:pPr>
      <w:bookmarkStart w:id="26" w:name="__RefHeading___Toc6569_2626648583"/>
      <w:bookmarkEnd w:id="26"/>
    </w:p>
    <w:p w14:paraId="07CF29F1" w14:textId="77777777" w:rsidR="002B7465" w:rsidRDefault="002B7465">
      <w:pPr>
        <w:pStyle w:val="Heading3"/>
        <w:spacing w:before="0" w:after="0" w:line="288" w:lineRule="auto"/>
        <w:rPr>
          <w:rFonts w:hint="eastAsia"/>
        </w:rPr>
      </w:pPr>
    </w:p>
    <w:p w14:paraId="3188B534" w14:textId="77777777" w:rsidR="002B7465" w:rsidRDefault="002B7465">
      <w:pPr>
        <w:pStyle w:val="Heading3"/>
        <w:spacing w:before="0" w:after="0" w:line="288" w:lineRule="auto"/>
        <w:rPr>
          <w:rFonts w:hint="eastAsia"/>
        </w:rPr>
      </w:pPr>
    </w:p>
    <w:p w14:paraId="649C5DA3" w14:textId="77777777" w:rsidR="002B7465" w:rsidRDefault="002B7465">
      <w:pPr>
        <w:pStyle w:val="Heading3"/>
        <w:spacing w:before="0" w:after="0" w:line="288" w:lineRule="auto"/>
        <w:rPr>
          <w:rFonts w:hint="eastAsia"/>
        </w:rPr>
      </w:pPr>
    </w:p>
    <w:p w14:paraId="5DC11692" w14:textId="77777777" w:rsidR="002B7465" w:rsidRDefault="002B7465">
      <w:pPr>
        <w:pStyle w:val="Heading3"/>
        <w:spacing w:before="0" w:after="0" w:line="288" w:lineRule="auto"/>
        <w:rPr>
          <w:rFonts w:hint="eastAsia"/>
        </w:rPr>
      </w:pPr>
    </w:p>
    <w:p w14:paraId="538BCF81" w14:textId="77777777" w:rsidR="002B7465" w:rsidRDefault="002B7465">
      <w:pPr>
        <w:pStyle w:val="Heading3"/>
        <w:spacing w:before="0" w:after="0" w:line="288" w:lineRule="auto"/>
        <w:rPr>
          <w:rFonts w:hint="eastAsia"/>
        </w:rPr>
      </w:pPr>
    </w:p>
    <w:p w14:paraId="35A47A5B" w14:textId="77777777" w:rsidR="002B7465" w:rsidRDefault="002B7465">
      <w:pPr>
        <w:pStyle w:val="Heading3"/>
        <w:spacing w:before="0" w:after="0" w:line="288" w:lineRule="auto"/>
        <w:rPr>
          <w:rFonts w:hint="eastAsia"/>
        </w:rPr>
      </w:pPr>
    </w:p>
    <w:p w14:paraId="01F6BD85" w14:textId="77777777" w:rsidR="002B7465" w:rsidRDefault="002B7465">
      <w:pPr>
        <w:pStyle w:val="Heading3"/>
        <w:spacing w:before="0" w:after="0" w:line="288" w:lineRule="auto"/>
        <w:rPr>
          <w:rFonts w:hint="eastAsia"/>
        </w:rPr>
      </w:pPr>
    </w:p>
    <w:p w14:paraId="71D13D3A" w14:textId="77777777" w:rsidR="002B7465" w:rsidRDefault="002B7465">
      <w:pPr>
        <w:pStyle w:val="Heading3"/>
        <w:spacing w:before="0" w:after="0" w:line="288" w:lineRule="auto"/>
        <w:rPr>
          <w:rFonts w:hint="eastAsia"/>
        </w:rPr>
      </w:pPr>
    </w:p>
    <w:p w14:paraId="0326D6D5" w14:textId="77777777" w:rsidR="002B7465" w:rsidRDefault="002B7465">
      <w:pPr>
        <w:pStyle w:val="Heading3"/>
        <w:spacing w:before="0" w:after="0" w:line="288" w:lineRule="auto"/>
        <w:rPr>
          <w:rFonts w:hint="eastAsia"/>
        </w:rPr>
      </w:pPr>
    </w:p>
    <w:p w14:paraId="040C5E0F" w14:textId="77777777" w:rsidR="002B7465" w:rsidRDefault="002B7465">
      <w:pPr>
        <w:pStyle w:val="Heading3"/>
        <w:spacing w:before="0" w:after="0" w:line="288" w:lineRule="auto"/>
        <w:rPr>
          <w:rFonts w:hint="eastAsia"/>
        </w:rPr>
      </w:pPr>
    </w:p>
    <w:p w14:paraId="69810D29" w14:textId="77777777" w:rsidR="002B7465" w:rsidRDefault="002B7465">
      <w:pPr>
        <w:pStyle w:val="Heading3"/>
        <w:spacing w:before="0" w:after="0" w:line="288" w:lineRule="auto"/>
        <w:rPr>
          <w:rFonts w:hint="eastAsia"/>
        </w:rPr>
      </w:pPr>
    </w:p>
    <w:p w14:paraId="16E2D912" w14:textId="77777777" w:rsidR="002B7465" w:rsidRDefault="002B7465">
      <w:pPr>
        <w:pStyle w:val="Heading3"/>
        <w:spacing w:before="0" w:after="0" w:line="288" w:lineRule="auto"/>
        <w:rPr>
          <w:rFonts w:hint="eastAsia"/>
        </w:rPr>
      </w:pPr>
    </w:p>
    <w:p w14:paraId="17AE4369" w14:textId="77777777" w:rsidR="002B7465" w:rsidRDefault="002B7465">
      <w:pPr>
        <w:pStyle w:val="Heading3"/>
        <w:spacing w:before="0" w:after="0" w:line="288" w:lineRule="auto"/>
        <w:rPr>
          <w:rFonts w:hint="eastAsia"/>
        </w:rPr>
      </w:pPr>
    </w:p>
    <w:p w14:paraId="135CCBA5" w14:textId="77777777" w:rsidR="002B7465" w:rsidRDefault="002B7465">
      <w:pPr>
        <w:pStyle w:val="Heading3"/>
        <w:spacing w:before="0" w:after="0" w:line="288" w:lineRule="auto"/>
        <w:rPr>
          <w:rFonts w:hint="eastAsia"/>
        </w:rPr>
      </w:pPr>
    </w:p>
    <w:p w14:paraId="69FD2AC4" w14:textId="77777777" w:rsidR="002B7465" w:rsidRDefault="002B7465">
      <w:pPr>
        <w:pStyle w:val="Heading3"/>
        <w:spacing w:before="0" w:after="0" w:line="288" w:lineRule="auto"/>
        <w:rPr>
          <w:rFonts w:hint="eastAsia"/>
        </w:rPr>
      </w:pPr>
    </w:p>
    <w:p w14:paraId="305E9964" w14:textId="77777777" w:rsidR="002B7465" w:rsidRDefault="002B7465">
      <w:pPr>
        <w:pStyle w:val="Heading3"/>
        <w:spacing w:before="0" w:after="0" w:line="288" w:lineRule="auto"/>
        <w:rPr>
          <w:rFonts w:hint="eastAsia"/>
        </w:rPr>
      </w:pPr>
    </w:p>
    <w:p w14:paraId="382F524B" w14:textId="77777777" w:rsidR="002B7465" w:rsidRDefault="002B7465">
      <w:pPr>
        <w:pStyle w:val="Heading3"/>
        <w:spacing w:before="0" w:after="0" w:line="288" w:lineRule="auto"/>
        <w:rPr>
          <w:rFonts w:hint="eastAsia"/>
        </w:rPr>
      </w:pPr>
    </w:p>
    <w:p w14:paraId="0A74CD3C" w14:textId="77777777" w:rsidR="002B7465" w:rsidRDefault="00000000">
      <w:pPr>
        <w:pStyle w:val="Heading3"/>
        <w:spacing w:before="0" w:after="0" w:line="288" w:lineRule="auto"/>
        <w:rPr>
          <w:rFonts w:hint="eastAsia"/>
          <w:sz w:val="24"/>
          <w:szCs w:val="24"/>
        </w:rPr>
      </w:pPr>
      <w:r w:rsidRPr="00962878">
        <w:rPr>
          <w:rFonts w:cs="Arial" w:hint="eastAsia"/>
          <w:color w:val="3465A4"/>
          <w:sz w:val="24"/>
          <w:szCs w:val="24"/>
        </w:rPr>
        <w:t xml:space="preserve">A2.6) </w:t>
      </w:r>
      <w:hyperlink r:id="rId17">
        <w:r>
          <w:rPr>
            <w:rStyle w:val="Hyperlink"/>
            <w:rFonts w:cs="Arial"/>
            <w:color w:val="3465A4"/>
            <w:sz w:val="24"/>
            <w:szCs w:val="24"/>
            <w:u w:val="none"/>
            <w:lang w:bidi="ar-SA"/>
          </w:rPr>
          <w:t>2020 NIR CONSENSUS STATEMENT</w:t>
        </w:r>
      </w:hyperlink>
      <w:r w:rsidRPr="00962878">
        <w:rPr>
          <w:rFonts w:cs="Arial" w:hint="eastAsia"/>
          <w:color w:val="3465A4"/>
          <w:sz w:val="24"/>
          <w:szCs w:val="24"/>
        </w:rPr>
        <w:t>:</w:t>
      </w:r>
      <w:r w:rsidRPr="00962878">
        <w:rPr>
          <w:rFonts w:cs="Arial" w:hint="eastAsia"/>
          <w:color w:val="3465A4"/>
          <w:sz w:val="24"/>
          <w:szCs w:val="24"/>
          <w:lang w:val="en-US"/>
        </w:rPr>
        <w:t xml:space="preserve"> </w:t>
      </w:r>
      <w:r w:rsidRPr="00962878">
        <w:rPr>
          <w:rFonts w:cs="Arial" w:hint="eastAsia"/>
          <w:color w:val="3465A4"/>
          <w:sz w:val="24"/>
          <w:szCs w:val="24"/>
        </w:rPr>
        <w:t xml:space="preserve">UK INITIATIVE, HEALTH EFFECTS FROM RFR </w:t>
      </w:r>
      <w:r w:rsidRPr="00962878">
        <w:rPr>
          <w:rFonts w:cs="Arial" w:hint="eastAsia"/>
          <w:color w:val="3465A4"/>
          <w:sz w:val="24"/>
          <w:szCs w:val="24"/>
        </w:rPr>
        <w:t>–</w:t>
      </w:r>
      <w:r w:rsidRPr="00962878">
        <w:rPr>
          <w:rFonts w:cs="Arial" w:hint="eastAsia"/>
          <w:color w:val="3465A4"/>
          <w:sz w:val="24"/>
          <w:szCs w:val="24"/>
        </w:rPr>
        <w:t xml:space="preserve"> SIGNED BY OVER 3500 MEDICAL AND SCIENTIFIC EXPERTS.</w:t>
      </w:r>
    </w:p>
    <w:p w14:paraId="3DF21CF0" w14:textId="77777777" w:rsidR="002B7465" w:rsidRDefault="00000000">
      <w:pPr>
        <w:spacing w:line="288" w:lineRule="auto"/>
        <w:rPr>
          <w:rFonts w:hint="eastAsia"/>
        </w:rPr>
      </w:pPr>
      <w:hyperlink r:id="rId18">
        <w:r>
          <w:rPr>
            <w:rStyle w:val="Hyperlink"/>
            <w:rFonts w:cs="Arial"/>
            <w:sz w:val="22"/>
            <w:szCs w:val="22"/>
            <w:u w:val="none"/>
          </w:rPr>
          <w:t>https://phiremedical.org/2020-nir-consensus-statement-read/</w:t>
        </w:r>
      </w:hyperlink>
    </w:p>
    <w:p w14:paraId="0C4CE820" w14:textId="77777777" w:rsidR="002B7465" w:rsidRDefault="002B7465">
      <w:pPr>
        <w:spacing w:line="288" w:lineRule="auto"/>
        <w:rPr>
          <w:rFonts w:cs="Arial" w:hint="eastAsia"/>
          <w:sz w:val="22"/>
          <w:szCs w:val="22"/>
        </w:rPr>
      </w:pPr>
    </w:p>
    <w:p w14:paraId="7D71CB4B" w14:textId="77777777" w:rsidR="002B7465" w:rsidRDefault="00000000">
      <w:pPr>
        <w:pStyle w:val="Heading3"/>
        <w:spacing w:before="0" w:after="0" w:line="288" w:lineRule="auto"/>
        <w:rPr>
          <w:rFonts w:hint="eastAsia"/>
          <w:color w:val="3465A4"/>
          <w:sz w:val="24"/>
          <w:szCs w:val="24"/>
        </w:rPr>
      </w:pPr>
      <w:bookmarkStart w:id="27" w:name="__RefHeading___Toc6571_2626648583"/>
      <w:bookmarkEnd w:id="27"/>
      <w:r>
        <w:rPr>
          <w:color w:val="3465A4"/>
          <w:sz w:val="24"/>
          <w:szCs w:val="24"/>
        </w:rPr>
        <w:t>A2.7) SCIENTIFIC SUBMISSION TOM BUTLER</w:t>
      </w:r>
    </w:p>
    <w:p w14:paraId="1190FAE1" w14:textId="77777777" w:rsidR="002B7465" w:rsidRDefault="00000000">
      <w:pPr>
        <w:spacing w:line="288" w:lineRule="auto"/>
        <w:rPr>
          <w:rFonts w:eastAsia="Microsoft YaHei" w:hint="eastAsia"/>
          <w:b/>
          <w:bCs/>
          <w:color w:val="3465A4"/>
        </w:rPr>
      </w:pPr>
      <w:hyperlink r:id="rId19">
        <w:r>
          <w:rPr>
            <w:rStyle w:val="Hyperlink"/>
            <w:rFonts w:cs="Arial"/>
            <w:sz w:val="22"/>
            <w:szCs w:val="22"/>
            <w:u w:val="none"/>
            <w:lang w:bidi="ar-SA"/>
          </w:rPr>
          <w:t>https://actionagainst5g.org/wp-content/uploads/2020/05/Prof-Tom-Butler-Submission-on-5G.pdf</w:t>
        </w:r>
      </w:hyperlink>
      <w:r>
        <w:rPr>
          <w:rFonts w:cs="Arial"/>
          <w:sz w:val="22"/>
          <w:szCs w:val="22"/>
        </w:rPr>
        <w:br/>
      </w:r>
    </w:p>
    <w:p w14:paraId="01F53C52" w14:textId="77777777" w:rsidR="002B7465" w:rsidRDefault="00000000">
      <w:pPr>
        <w:pStyle w:val="Heading3"/>
        <w:spacing w:before="0" w:after="0" w:line="288" w:lineRule="auto"/>
        <w:rPr>
          <w:rFonts w:hint="eastAsia"/>
          <w:color w:val="3465A4"/>
          <w:sz w:val="24"/>
          <w:szCs w:val="24"/>
        </w:rPr>
      </w:pPr>
      <w:bookmarkStart w:id="28" w:name="__RefHeading___Toc6573_2626648583"/>
      <w:bookmarkEnd w:id="28"/>
      <w:r>
        <w:rPr>
          <w:color w:val="3465A4"/>
          <w:sz w:val="24"/>
          <w:szCs w:val="24"/>
        </w:rPr>
        <w:t xml:space="preserve">A2.8) US SUPREME COURT RULING FCC v EHT </w:t>
      </w:r>
    </w:p>
    <w:p w14:paraId="3817BA34" w14:textId="77777777" w:rsidR="002B7465" w:rsidRDefault="00000000">
      <w:pPr>
        <w:pStyle w:val="BodyText"/>
        <w:spacing w:after="0" w:line="288" w:lineRule="auto"/>
        <w:rPr>
          <w:rFonts w:hint="eastAsia"/>
        </w:rPr>
      </w:pPr>
      <w:proofErr w:type="gramStart"/>
      <w:r>
        <w:t>NON THERMAL</w:t>
      </w:r>
      <w:proofErr w:type="gramEnd"/>
      <w:r>
        <w:t xml:space="preserve"> EFFECTS SCIENCE &amp; EHS EVIDENCE EXCLUDED FROM GUIDELINES</w:t>
      </w:r>
    </w:p>
    <w:p w14:paraId="014F4160" w14:textId="77777777" w:rsidR="002B7465" w:rsidRDefault="002B7465">
      <w:pPr>
        <w:pStyle w:val="BodyText"/>
        <w:spacing w:after="0" w:line="288" w:lineRule="auto"/>
        <w:rPr>
          <w:rFonts w:hint="eastAsia"/>
        </w:rPr>
      </w:pPr>
    </w:p>
    <w:p w14:paraId="588BBA3E" w14:textId="7FDC9C6F" w:rsidR="002B7465" w:rsidRDefault="00000000">
      <w:pPr>
        <w:pStyle w:val="BodyText"/>
        <w:spacing w:after="0" w:line="288" w:lineRule="auto"/>
        <w:rPr>
          <w:rFonts w:hint="eastAsia"/>
          <w:szCs w:val="22"/>
        </w:rPr>
      </w:pPr>
      <w:r>
        <w:rPr>
          <w:szCs w:val="22"/>
        </w:rPr>
        <w:t xml:space="preserve">10,000pp of evidence of harm entered into the public record for the EHT/CHD vs. FCC lawsuit. The FCC lost their case 2021. Guidelines do not adequately consider the science of non-thermal effects and reports of </w:t>
      </w:r>
      <w:proofErr w:type="spellStart"/>
      <w:r>
        <w:rPr>
          <w:szCs w:val="22"/>
        </w:rPr>
        <w:t>Electrohypersensitivity</w:t>
      </w:r>
      <w:proofErr w:type="spellEnd"/>
      <w:r>
        <w:rPr>
          <w:szCs w:val="22"/>
        </w:rPr>
        <w:t>.</w:t>
      </w:r>
    </w:p>
    <w:p w14:paraId="0374C979" w14:textId="77777777" w:rsidR="002B7465" w:rsidRDefault="00000000">
      <w:pPr>
        <w:spacing w:line="288" w:lineRule="auto"/>
        <w:rPr>
          <w:rFonts w:hint="eastAsia"/>
        </w:rPr>
      </w:pPr>
      <w:hyperlink r:id="rId20">
        <w:r>
          <w:rPr>
            <w:rStyle w:val="Hyperlink"/>
            <w:rFonts w:cs="Arial"/>
            <w:sz w:val="22"/>
            <w:szCs w:val="22"/>
            <w:u w:val="none"/>
            <w:shd w:val="clear" w:color="auto" w:fill="FFFFFF"/>
            <w:lang w:bidi="ar-SA"/>
          </w:rPr>
          <w:t>https://ehtrust.org/environmental-health-trust-et-al-v-fcc-key-documents/</w:t>
        </w:r>
      </w:hyperlink>
    </w:p>
    <w:p w14:paraId="3261E9F2" w14:textId="77777777" w:rsidR="002B7465" w:rsidRDefault="002B7465">
      <w:pPr>
        <w:spacing w:line="288" w:lineRule="auto"/>
        <w:rPr>
          <w:rFonts w:cs="Arial" w:hint="eastAsia"/>
          <w:color w:val="00007F"/>
          <w:sz w:val="22"/>
          <w:szCs w:val="22"/>
          <w:shd w:val="clear" w:color="auto" w:fill="FFFFFF"/>
        </w:rPr>
      </w:pPr>
    </w:p>
    <w:p w14:paraId="7158AB39" w14:textId="77777777" w:rsidR="002B7465" w:rsidRDefault="00000000">
      <w:pPr>
        <w:pStyle w:val="Heading3"/>
        <w:spacing w:before="0" w:after="0" w:line="288" w:lineRule="auto"/>
        <w:rPr>
          <w:rFonts w:hint="eastAsia"/>
          <w:sz w:val="24"/>
          <w:szCs w:val="24"/>
        </w:rPr>
      </w:pPr>
      <w:bookmarkStart w:id="29" w:name="__RefHeading___Toc6575_2626648583"/>
      <w:bookmarkEnd w:id="29"/>
      <w:r>
        <w:rPr>
          <w:rFonts w:cs="Arial"/>
          <w:color w:val="2A6099"/>
          <w:sz w:val="24"/>
          <w:szCs w:val="24"/>
          <w:shd w:val="clear" w:color="auto" w:fill="FFFFFF"/>
        </w:rPr>
        <w:t xml:space="preserve">A2.9) </w:t>
      </w:r>
      <w:r>
        <w:rPr>
          <w:rFonts w:cs="Arial"/>
          <w:color w:val="2A6099"/>
          <w:sz w:val="24"/>
          <w:szCs w:val="24"/>
        </w:rPr>
        <w:t xml:space="preserve">CHILDREN ARE MORE VULNERABLE TO MICROWAVE RADIATION </w:t>
      </w:r>
    </w:p>
    <w:p w14:paraId="71ADA064" w14:textId="4D6A5113" w:rsidR="002B7465" w:rsidRDefault="00000000">
      <w:pPr>
        <w:pStyle w:val="BodyText"/>
        <w:spacing w:after="0" w:line="288" w:lineRule="auto"/>
        <w:rPr>
          <w:rFonts w:hint="eastAsia"/>
        </w:rPr>
      </w:pPr>
      <w:bookmarkStart w:id="30" w:name="__RefHeading___Toc6956_2626648583"/>
      <w:bookmarkEnd w:id="30"/>
      <w:r>
        <w:rPr>
          <w:rFonts w:cs="Arial"/>
          <w:color w:val="000000"/>
        </w:rPr>
        <w:t xml:space="preserve">Children are more vulnerable </w:t>
      </w:r>
      <w:r>
        <w:rPr>
          <w:rFonts w:cs="Arial"/>
        </w:rPr>
        <w:t xml:space="preserve">than adults, see for example, Prof Tom Butler, "On the Clear Evidence of the Risks to Children from Non-Ionizing </w:t>
      </w:r>
      <w:proofErr w:type="gramStart"/>
      <w:r>
        <w:rPr>
          <w:rFonts w:cs="Arial"/>
        </w:rPr>
        <w:t>Radio-frequency</w:t>
      </w:r>
      <w:proofErr w:type="gramEnd"/>
      <w:r>
        <w:rPr>
          <w:rFonts w:cs="Arial"/>
        </w:rPr>
        <w:t xml:space="preserve"> Radiation"</w:t>
      </w:r>
    </w:p>
    <w:p w14:paraId="2CEF11BE" w14:textId="77777777" w:rsidR="002B7465"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hint="eastAsia"/>
        </w:rPr>
      </w:pPr>
      <w:hyperlink r:id="rId21">
        <w:r>
          <w:rPr>
            <w:rStyle w:val="Hyperlink"/>
            <w:rFonts w:cs="Arial"/>
            <w:sz w:val="22"/>
            <w:szCs w:val="22"/>
            <w:u w:val="none"/>
            <w:lang w:bidi="ar-SA"/>
          </w:rPr>
          <w:t>www.radiationresearch.org/articles/on-the-clear-evidence-of-the-risks-to-children-from-non-ionizing-radio-frequency-radiation-the-case-of-digital-technologies-in-the-home-classroom-and-society/</w:t>
        </w:r>
      </w:hyperlink>
    </w:p>
    <w:p w14:paraId="6A8871C6" w14:textId="77777777" w:rsidR="002B7465" w:rsidRDefault="002B74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cs="Arial" w:hint="eastAsia"/>
          <w:color w:val="1F6BC0"/>
          <w:sz w:val="22"/>
          <w:szCs w:val="22"/>
        </w:rPr>
      </w:pPr>
    </w:p>
    <w:p w14:paraId="0F81AB46" w14:textId="77777777" w:rsidR="002B7465" w:rsidRDefault="00000000">
      <w:pPr>
        <w:pStyle w:val="Heading3"/>
        <w:spacing w:before="0" w:after="0" w:line="288" w:lineRule="auto"/>
        <w:rPr>
          <w:rFonts w:hint="eastAsia"/>
          <w:sz w:val="24"/>
          <w:szCs w:val="24"/>
        </w:rPr>
      </w:pPr>
      <w:bookmarkStart w:id="31" w:name="__RefHeading___Toc6577_2626648583"/>
      <w:bookmarkEnd w:id="31"/>
      <w:r>
        <w:rPr>
          <w:rFonts w:cs="Arial"/>
          <w:color w:val="2A6099"/>
          <w:sz w:val="24"/>
          <w:szCs w:val="24"/>
        </w:rPr>
        <w:t xml:space="preserve">A2.10) PROFESSOR FRANK, UNIVERSITY OF EDINBURGH </w:t>
      </w:r>
    </w:p>
    <w:p w14:paraId="7C9456F2" w14:textId="02B51E66" w:rsidR="002B7465" w:rsidRDefault="00000000">
      <w:pPr>
        <w:pStyle w:val="BodyText"/>
        <w:spacing w:after="0" w:line="288" w:lineRule="auto"/>
        <w:rPr>
          <w:rFonts w:hint="eastAsia"/>
        </w:rPr>
      </w:pPr>
      <w:bookmarkStart w:id="32" w:name="__RefHeading___Toc6958_2626648583"/>
      <w:bookmarkEnd w:id="32"/>
      <w:r>
        <w:rPr>
          <w:rFonts w:cs="Arial"/>
          <w:color w:val="443205"/>
        </w:rPr>
        <w:t>5G uses a broader spectrum and higher frequency radio waves, with phased array technology and is unevaluated, in terms of safety</w:t>
      </w:r>
      <w:r>
        <w:rPr>
          <w:rFonts w:cs="Arial"/>
          <w:color w:val="2A6099"/>
        </w:rPr>
        <w:t xml:space="preserve">. </w:t>
      </w:r>
      <w:r>
        <w:rPr>
          <w:rFonts w:cs="Arial"/>
        </w:rPr>
        <w:t>Transmitter density required for 5G means that more people will be exposed to radio frequency electromagnetic fields (RF-EMFs), and at levels that emerging evidence suggests, are potentially harmful to health, argues:</w:t>
      </w:r>
    </w:p>
    <w:p w14:paraId="61D87CCB" w14:textId="77777777" w:rsidR="002B7465"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hint="eastAsia"/>
        </w:rPr>
      </w:pPr>
      <w:hyperlink r:id="rId22">
        <w:r>
          <w:rPr>
            <w:rStyle w:val="Hyperlink"/>
            <w:rFonts w:cs="Arial"/>
            <w:sz w:val="22"/>
            <w:szCs w:val="22"/>
            <w:u w:val="none"/>
            <w:lang w:bidi="ar-SA"/>
          </w:rPr>
          <w:t>www.bmj.com/company/newsroom/stop-global-roll-out-of-5g-networks-until-safety-is-confirmed-urges-expert/</w:t>
        </w:r>
      </w:hyperlink>
    </w:p>
    <w:p w14:paraId="493873C1" w14:textId="77777777" w:rsidR="002B7465" w:rsidRDefault="002B74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cs="Arial" w:hint="eastAsia"/>
          <w:color w:val="1F6BC0"/>
          <w:sz w:val="22"/>
          <w:szCs w:val="22"/>
        </w:rPr>
      </w:pPr>
    </w:p>
    <w:p w14:paraId="15BD7E32" w14:textId="77777777" w:rsidR="002B7465" w:rsidRDefault="00000000">
      <w:pPr>
        <w:pStyle w:val="Heading3"/>
        <w:spacing w:before="0" w:after="0" w:line="288" w:lineRule="auto"/>
        <w:rPr>
          <w:rFonts w:cs="Arial" w:hint="eastAsia"/>
          <w:color w:val="2A6099"/>
          <w:sz w:val="24"/>
          <w:szCs w:val="24"/>
        </w:rPr>
      </w:pPr>
      <w:bookmarkStart w:id="33" w:name="__RefHeading___Toc6579_2626648583"/>
      <w:bookmarkEnd w:id="33"/>
      <w:r>
        <w:rPr>
          <w:rFonts w:cs="Arial"/>
          <w:color w:val="2A6099"/>
          <w:sz w:val="24"/>
          <w:szCs w:val="24"/>
        </w:rPr>
        <w:t>A2.11) BUGS MATTER SURVEY</w:t>
      </w:r>
    </w:p>
    <w:p w14:paraId="219EF7CB" w14:textId="52484D06" w:rsidR="002B7465" w:rsidRDefault="00000000">
      <w:pPr>
        <w:pStyle w:val="BodyText"/>
        <w:spacing w:after="0" w:line="288" w:lineRule="auto"/>
        <w:rPr>
          <w:rFonts w:hint="eastAsia"/>
        </w:rPr>
      </w:pPr>
      <w:r>
        <w:t>‘Bugs Matter survey finds that UK flying insects have declined by nearly 60% in less than 20 years’ May 2022</w:t>
      </w:r>
    </w:p>
    <w:p w14:paraId="6A94DFFD" w14:textId="77777777" w:rsidR="002B7465" w:rsidRDefault="00000000">
      <w:pPr>
        <w:pStyle w:val="BodyText"/>
        <w:spacing w:after="0" w:line="288" w:lineRule="auto"/>
        <w:rPr>
          <w:rFonts w:hint="eastAsia"/>
        </w:rPr>
      </w:pPr>
      <w:hyperlink r:id="rId23">
        <w:r>
          <w:rPr>
            <w:rStyle w:val="Hyperlink"/>
            <w:rFonts w:eastAsia="Arial Unicode MS" w:cs="Arial"/>
            <w:szCs w:val="22"/>
            <w:u w:val="none"/>
          </w:rPr>
          <w:t>https://actionagainst5g.org/news/ecological-threat-of-rfr-and-5g/</w:t>
        </w:r>
      </w:hyperlink>
      <w:r>
        <w:rPr>
          <w:rFonts w:cs="Arial"/>
          <w:szCs w:val="22"/>
        </w:rPr>
        <w:t xml:space="preserve"> </w:t>
      </w:r>
    </w:p>
    <w:p w14:paraId="6C61E46B" w14:textId="77777777" w:rsidR="002B7465" w:rsidRDefault="002B7465">
      <w:pPr>
        <w:pStyle w:val="BodyText"/>
        <w:spacing w:after="0" w:line="288" w:lineRule="auto"/>
        <w:rPr>
          <w:rFonts w:hint="eastAsia"/>
        </w:rPr>
      </w:pPr>
    </w:p>
    <w:p w14:paraId="0284D236" w14:textId="77777777" w:rsidR="002B7465" w:rsidRDefault="00000000">
      <w:pPr>
        <w:pStyle w:val="BodyText"/>
        <w:spacing w:after="0" w:line="288" w:lineRule="auto"/>
        <w:rPr>
          <w:rFonts w:hint="eastAsia"/>
        </w:rPr>
      </w:pPr>
      <w:proofErr w:type="spellStart"/>
      <w:r>
        <w:t>Vibeke</w:t>
      </w:r>
      <w:proofErr w:type="spellEnd"/>
      <w:r>
        <w:t xml:space="preserve"> </w:t>
      </w:r>
      <w:proofErr w:type="spellStart"/>
      <w:r>
        <w:t>Frøkjær</w:t>
      </w:r>
      <w:proofErr w:type="spellEnd"/>
      <w:r>
        <w:t xml:space="preserve"> Jensen DVM PhD (radiology and genetics) “The impact of RFR exposure on insects”</w:t>
      </w:r>
    </w:p>
    <w:p w14:paraId="3C81267A" w14:textId="77777777" w:rsidR="002B7465" w:rsidRDefault="00000000">
      <w:pPr>
        <w:pStyle w:val="BodyText"/>
        <w:spacing w:after="0" w:line="288" w:lineRule="auto"/>
        <w:rPr>
          <w:rFonts w:hint="eastAsia"/>
        </w:rPr>
      </w:pPr>
      <w:r>
        <w:t>Low-level EMF effects on wildlife and plants: What research tells us about an ecosystem approach.</w:t>
      </w:r>
    </w:p>
    <w:p w14:paraId="41ADED64" w14:textId="77777777" w:rsidR="002B7465" w:rsidRDefault="00000000">
      <w:pPr>
        <w:pStyle w:val="BodyText"/>
        <w:spacing w:after="0" w:line="288" w:lineRule="auto"/>
        <w:rPr>
          <w:rFonts w:hint="eastAsia"/>
        </w:rPr>
      </w:pPr>
      <w:hyperlink r:id="rId24">
        <w:r>
          <w:rPr>
            <w:rStyle w:val="Hyperlink"/>
          </w:rPr>
          <w:t>https://www.frontiersin.org/articles/10.3389/fpubh.2022.1000840/full</w:t>
        </w:r>
      </w:hyperlink>
    </w:p>
    <w:p w14:paraId="60908C68" w14:textId="77777777" w:rsidR="002B7465" w:rsidRDefault="002B7465">
      <w:pPr>
        <w:pStyle w:val="BodyText"/>
        <w:numPr>
          <w:ilvl w:val="2"/>
          <w:numId w:val="1"/>
        </w:numPr>
        <w:spacing w:after="0" w:line="288" w:lineRule="auto"/>
        <w:rPr>
          <w:rFonts w:cs="Arial" w:hint="eastAsia"/>
          <w:color w:val="2A6099"/>
          <w:sz w:val="24"/>
        </w:rPr>
      </w:pPr>
      <w:bookmarkStart w:id="34" w:name="__RefHeading___Toc6581_2626648583"/>
      <w:bookmarkEnd w:id="34"/>
      <w:moveFromRangeStart w:id="35" w:author="oliver perceval" w:date="2024-03-31T08:28:00Z" w:name="move162766132_Copy_1_Copy_1_Copy_1_Copy_"/>
      <w:moveFromRangeEnd w:id="35"/>
    </w:p>
    <w:p w14:paraId="24675956" w14:textId="705F87A8" w:rsidR="002B7465" w:rsidRDefault="00000000">
      <w:pPr>
        <w:pStyle w:val="Heading3"/>
        <w:spacing w:before="0" w:after="0" w:line="288" w:lineRule="auto"/>
        <w:rPr>
          <w:rFonts w:cs="Arial" w:hint="eastAsia"/>
          <w:color w:val="2A6099"/>
          <w:sz w:val="24"/>
          <w:szCs w:val="24"/>
        </w:rPr>
      </w:pPr>
      <w:r>
        <w:rPr>
          <w:rFonts w:cs="Arial"/>
          <w:color w:val="2A6099"/>
          <w:sz w:val="24"/>
          <w:szCs w:val="24"/>
        </w:rPr>
        <w:t>A2.12) OFCOM 5G SURVEYS ARE EXPERIMENTAL</w:t>
      </w:r>
    </w:p>
    <w:p w14:paraId="2BDAECC5" w14:textId="77777777" w:rsidR="002B7465" w:rsidRDefault="00000000">
      <w:pPr>
        <w:pStyle w:val="BodyText"/>
        <w:spacing w:after="0" w:line="288" w:lineRule="auto"/>
        <w:rPr>
          <w:rFonts w:hint="eastAsia"/>
        </w:rPr>
      </w:pPr>
      <w:r>
        <w:t xml:space="preserve">Luxembourg Institute of Science and Technology (LIST) July 2023 ‘A Survey on EMF-Aware Mobile Network Planning’ SÉBASTIEN FAYE. </w:t>
      </w:r>
      <w:hyperlink r:id="rId25">
        <w:r>
          <w:rPr>
            <w:rStyle w:val="Hyperlink"/>
            <w:rFonts w:eastAsia="Microsoft YaHei" w:cs="Arial"/>
            <w:color w:val="443205"/>
            <w:szCs w:val="22"/>
            <w:u w:val="none"/>
          </w:rPr>
          <w:t>https://ieeexplore.ieee.org/stamp/stamp.jsp?tp=&amp;arnumber=10215090</w:t>
        </w:r>
      </w:hyperlink>
      <w:r>
        <w:rPr>
          <w:rStyle w:val="Hyperlink"/>
          <w:rFonts w:eastAsia="Microsoft YaHei" w:cs="Arial"/>
          <w:color w:val="443205"/>
          <w:szCs w:val="22"/>
          <w:u w:val="none"/>
        </w:rPr>
        <w:t xml:space="preserve"> </w:t>
      </w:r>
    </w:p>
    <w:p w14:paraId="08BA01B5" w14:textId="77777777" w:rsidR="002B7465" w:rsidRDefault="00000000">
      <w:pPr>
        <w:pStyle w:val="BodyText"/>
        <w:spacing w:after="0" w:line="288" w:lineRule="auto"/>
        <w:rPr>
          <w:rFonts w:hint="eastAsia"/>
          <w:b/>
          <w:bCs/>
        </w:rPr>
      </w:pPr>
      <w:r>
        <w:rPr>
          <w:b/>
          <w:bCs/>
        </w:rPr>
        <w:t>Quotes</w:t>
      </w:r>
    </w:p>
    <w:p w14:paraId="62E042CF" w14:textId="77777777" w:rsidR="002B7465" w:rsidRDefault="00000000">
      <w:pPr>
        <w:pStyle w:val="BodyText"/>
        <w:spacing w:after="0" w:line="288" w:lineRule="auto"/>
        <w:rPr>
          <w:rFonts w:hint="eastAsia"/>
        </w:rPr>
      </w:pPr>
      <w:r>
        <w:t>a) ‘</w:t>
      </w:r>
      <w:r>
        <w:rPr>
          <w:i/>
          <w:iCs/>
        </w:rPr>
        <w:t>As of 2021, the measuring methods are mostly based on static antenna patterns, whereas 5G antennas are dynamic. Therefore, it is necessary to revise the current EMF measuring techniques to assess the exposure resulting from 5G antennas</w:t>
      </w:r>
      <w:r>
        <w:t>.’</w:t>
      </w:r>
    </w:p>
    <w:p w14:paraId="506FF908" w14:textId="77777777" w:rsidR="002B7465" w:rsidRDefault="00000000">
      <w:pPr>
        <w:pStyle w:val="BodyText"/>
        <w:spacing w:after="0" w:line="288" w:lineRule="auto"/>
        <w:rPr>
          <w:rFonts w:hint="eastAsia"/>
        </w:rPr>
      </w:pPr>
      <w:r>
        <w:t xml:space="preserve"> &amp; </w:t>
      </w:r>
    </w:p>
    <w:p w14:paraId="707EC06C" w14:textId="530EC70C" w:rsidR="002B7465" w:rsidRPr="00ED35B4" w:rsidRDefault="00000000">
      <w:pPr>
        <w:pStyle w:val="BodyText"/>
        <w:spacing w:after="0" w:line="288" w:lineRule="auto"/>
        <w:rPr>
          <w:rStyle w:val="Hyperlink"/>
          <w:rFonts w:hint="eastAsia"/>
          <w:color w:val="auto"/>
          <w:u w:val="none"/>
        </w:rPr>
      </w:pPr>
      <w:r>
        <w:t xml:space="preserve">b) </w:t>
      </w:r>
      <w:r w:rsidRPr="00ED35B4">
        <w:rPr>
          <w:i/>
          <w:iCs/>
        </w:rPr>
        <w:t>‘To verify that 5G base stations remain</w:t>
      </w:r>
      <w:r w:rsidR="001E039A" w:rsidRPr="00ED35B4">
        <w:rPr>
          <w:i/>
          <w:iCs/>
        </w:rPr>
        <w:t>ed</w:t>
      </w:r>
      <w:r w:rsidRPr="00ED35B4">
        <w:rPr>
          <w:i/>
          <w:iCs/>
        </w:rPr>
        <w:t xml:space="preserve"> within the EMF emission limits set out in the guidelines from ICNI</w:t>
      </w:r>
      <w:r w:rsidR="00ED35B4" w:rsidRPr="00ED35B4">
        <w:rPr>
          <w:i/>
          <w:iCs/>
        </w:rPr>
        <w:t>RP,</w:t>
      </w:r>
      <w:r w:rsidRPr="00ED35B4">
        <w:rPr>
          <w:i/>
          <w:iCs/>
        </w:rPr>
        <w:t xml:space="preserve"> Ofcom</w:t>
      </w:r>
      <w:r w:rsidRPr="00ED35B4">
        <w:rPr>
          <w:b/>
          <w:bCs/>
          <w:i/>
          <w:iCs/>
        </w:rPr>
        <w:t xml:space="preserve"> conducted an experiment</w:t>
      </w:r>
      <w:r w:rsidRPr="00ED35B4">
        <w:rPr>
          <w:i/>
          <w:iCs/>
        </w:rPr>
        <w:t xml:space="preserve"> that included measurements at 22 UK sites.</w:t>
      </w:r>
      <w:r w:rsidR="00ED35B4">
        <w:rPr>
          <w:i/>
          <w:iCs/>
        </w:rPr>
        <w:t xml:space="preserve">’ </w:t>
      </w:r>
      <w:r w:rsidR="00ED35B4" w:rsidRPr="00ED35B4">
        <w:rPr>
          <w:i/>
          <w:iCs/>
        </w:rPr>
        <w:t xml:space="preserve"> </w:t>
      </w:r>
      <w:r w:rsidR="00ED35B4">
        <w:t>However, note that the isotropic readings are called out as inaccurate and inappropriate.</w:t>
      </w:r>
    </w:p>
    <w:p w14:paraId="6CE5DC3F" w14:textId="77777777" w:rsidR="002B7465" w:rsidRDefault="00000000">
      <w:pPr>
        <w:spacing w:line="288" w:lineRule="auto"/>
        <w:rPr>
          <w:rFonts w:hint="eastAsia"/>
        </w:rPr>
      </w:pPr>
      <w:hyperlink>
        <w:bookmarkStart w:id="36" w:name="__RefHeading___Toc6583_2626648583"/>
        <w:bookmarkEnd w:id="36"/>
        <w:r>
          <w:rPr>
            <w:rStyle w:val="Hyperlink"/>
            <w:rFonts w:cs="Arial"/>
            <w:color w:val="000000"/>
            <w:sz w:val="22"/>
            <w:szCs w:val="22"/>
          </w:rPr>
          <w:t>https://www.ofcom.org.uk/spectrum/information/mobile-operational-enquiries/audit-info</w:t>
        </w:r>
      </w:hyperlink>
    </w:p>
    <w:p w14:paraId="1F366947" w14:textId="77777777" w:rsidR="002B7465" w:rsidRDefault="002B7465" w:rsidP="00962878">
      <w:pPr>
        <w:spacing w:line="288" w:lineRule="auto"/>
        <w:rPr>
          <w:rFonts w:hint="eastAsia"/>
          <w:color w:val="2A6099"/>
        </w:rPr>
      </w:pPr>
    </w:p>
    <w:p w14:paraId="05719DC4" w14:textId="77777777" w:rsidR="002B7465" w:rsidRDefault="00000000">
      <w:pPr>
        <w:pStyle w:val="Heading3"/>
        <w:spacing w:before="0" w:after="0" w:line="288" w:lineRule="auto"/>
        <w:rPr>
          <w:rFonts w:hint="eastAsia"/>
          <w:color w:val="2A6099"/>
          <w:sz w:val="24"/>
          <w:szCs w:val="24"/>
        </w:rPr>
      </w:pPr>
      <w:r>
        <w:rPr>
          <w:rFonts w:cs="Arial"/>
          <w:color w:val="2A6099"/>
          <w:sz w:val="24"/>
          <w:szCs w:val="24"/>
        </w:rPr>
        <w:t>A2.13) EHS RECOGNITION</w:t>
      </w:r>
    </w:p>
    <w:p w14:paraId="72BE1AED" w14:textId="77777777" w:rsidR="002B7465" w:rsidRDefault="002B7465">
      <w:pPr>
        <w:spacing w:line="288" w:lineRule="auto"/>
        <w:rPr>
          <w:rFonts w:cs="Arial" w:hint="eastAsia"/>
          <w:b/>
          <w:bCs/>
          <w:color w:val="3465A4"/>
          <w:sz w:val="22"/>
          <w:szCs w:val="22"/>
        </w:rPr>
      </w:pPr>
    </w:p>
    <w:p w14:paraId="021BF52E" w14:textId="77777777" w:rsidR="002B7465" w:rsidRDefault="00000000">
      <w:pPr>
        <w:spacing w:line="288" w:lineRule="auto"/>
        <w:rPr>
          <w:rFonts w:hint="eastAsia"/>
          <w:b/>
          <w:bCs/>
          <w:color w:val="3465A4"/>
          <w:sz w:val="22"/>
          <w:szCs w:val="22"/>
        </w:rPr>
      </w:pPr>
      <w:r>
        <w:rPr>
          <w:rFonts w:cs="Arial"/>
          <w:b/>
          <w:bCs/>
          <w:color w:val="3465A4"/>
          <w:sz w:val="22"/>
          <w:szCs w:val="22"/>
        </w:rPr>
        <w:t>A2.13.1) UK AWARDS</w:t>
      </w:r>
    </w:p>
    <w:p w14:paraId="05999B97" w14:textId="0000FDEE" w:rsidR="002B7465" w:rsidRDefault="00000000">
      <w:pPr>
        <w:spacing w:line="288" w:lineRule="auto"/>
        <w:rPr>
          <w:rFonts w:cs="Arial" w:hint="eastAsia"/>
          <w:color w:val="000000"/>
          <w:sz w:val="22"/>
          <w:szCs w:val="22"/>
        </w:rPr>
      </w:pPr>
      <w:r>
        <w:rPr>
          <w:rFonts w:cs="Arial"/>
          <w:color w:val="000000"/>
          <w:sz w:val="22"/>
          <w:szCs w:val="22"/>
        </w:rPr>
        <w:t>An</w:t>
      </w:r>
      <w:r>
        <w:rPr>
          <w:rFonts w:cs="Arial"/>
          <w:b/>
          <w:bCs/>
          <w:color w:val="000000"/>
          <w:sz w:val="22"/>
          <w:szCs w:val="22"/>
        </w:rPr>
        <w:t xml:space="preserve"> Education Health Care Plan</w:t>
      </w:r>
      <w:r>
        <w:rPr>
          <w:rFonts w:cs="Arial"/>
          <w:color w:val="000000"/>
          <w:sz w:val="22"/>
          <w:szCs w:val="22"/>
        </w:rPr>
        <w:t xml:space="preserve"> (EHCP) was awarded (July 2022) for a child </w:t>
      </w:r>
      <w:proofErr w:type="gramStart"/>
      <w:r>
        <w:rPr>
          <w:rFonts w:cs="Arial"/>
          <w:color w:val="000000"/>
          <w:sz w:val="22"/>
          <w:szCs w:val="22"/>
        </w:rPr>
        <w:t>on the basis of</w:t>
      </w:r>
      <w:proofErr w:type="gramEnd"/>
      <w:r>
        <w:rPr>
          <w:rFonts w:cs="Arial"/>
          <w:color w:val="000000"/>
          <w:sz w:val="22"/>
          <w:szCs w:val="22"/>
        </w:rPr>
        <w:t xml:space="preserve"> Electromagnetic Hypersensitivity (EHS) in August 2022. They won in the Upper </w:t>
      </w:r>
      <w:proofErr w:type="gramStart"/>
      <w:r>
        <w:rPr>
          <w:rFonts w:cs="Arial"/>
          <w:color w:val="000000"/>
          <w:sz w:val="22"/>
          <w:szCs w:val="22"/>
        </w:rPr>
        <w:t>Tribunal,</w:t>
      </w:r>
      <w:proofErr w:type="gramEnd"/>
      <w:r>
        <w:rPr>
          <w:rFonts w:cs="Arial"/>
          <w:color w:val="000000"/>
          <w:sz w:val="22"/>
          <w:szCs w:val="22"/>
        </w:rPr>
        <w:t xml:space="preserve"> thus the ruling is also precedent setting. </w:t>
      </w:r>
    </w:p>
    <w:p w14:paraId="2523970F" w14:textId="77777777" w:rsidR="002B7465" w:rsidRDefault="002B7465">
      <w:pPr>
        <w:spacing w:line="288" w:lineRule="auto"/>
        <w:rPr>
          <w:rFonts w:hint="eastAsia"/>
          <w:sz w:val="22"/>
          <w:szCs w:val="22"/>
        </w:rPr>
      </w:pPr>
    </w:p>
    <w:p w14:paraId="6166DC76" w14:textId="36C92998" w:rsidR="002B7465" w:rsidRDefault="00000000">
      <w:pPr>
        <w:spacing w:line="288" w:lineRule="auto"/>
        <w:rPr>
          <w:rFonts w:hint="eastAsia"/>
          <w:sz w:val="22"/>
          <w:szCs w:val="22"/>
        </w:rPr>
      </w:pPr>
      <w:r>
        <w:rPr>
          <w:rFonts w:cs="Arial"/>
          <w:color w:val="000000"/>
          <w:sz w:val="22"/>
          <w:szCs w:val="22"/>
        </w:rPr>
        <w:lastRenderedPageBreak/>
        <w:t xml:space="preserve">A </w:t>
      </w:r>
      <w:proofErr w:type="gramStart"/>
      <w:r>
        <w:rPr>
          <w:rFonts w:cs="Arial"/>
          <w:color w:val="000000"/>
          <w:sz w:val="22"/>
          <w:szCs w:val="22"/>
        </w:rPr>
        <w:t>59 year old</w:t>
      </w:r>
      <w:proofErr w:type="gramEnd"/>
      <w:r>
        <w:rPr>
          <w:rFonts w:cs="Arial"/>
          <w:color w:val="000000"/>
          <w:sz w:val="22"/>
          <w:szCs w:val="22"/>
        </w:rPr>
        <w:t xml:space="preserve"> social worker was awarded an ‘early ill health retirement’ for disabling ‘Electromagnetic Hypersensitivity (EHS) on 15th June 2022.</w:t>
      </w:r>
    </w:p>
    <w:p w14:paraId="422475AE" w14:textId="5E4D7B44" w:rsidR="002B7465" w:rsidRDefault="00000000">
      <w:pPr>
        <w:spacing w:line="288" w:lineRule="auto"/>
        <w:rPr>
          <w:rFonts w:hint="eastAsia"/>
          <w:sz w:val="22"/>
          <w:szCs w:val="22"/>
        </w:rPr>
      </w:pPr>
      <w:r>
        <w:rPr>
          <w:rFonts w:cs="Arial"/>
          <w:color w:val="000000"/>
          <w:sz w:val="22"/>
          <w:szCs w:val="22"/>
        </w:rPr>
        <w:t>Claimant successfully</w:t>
      </w:r>
      <w:r>
        <w:rPr>
          <w:rFonts w:cs="Arial"/>
          <w:b/>
          <w:bCs/>
          <w:color w:val="000000"/>
          <w:sz w:val="22"/>
          <w:szCs w:val="22"/>
        </w:rPr>
        <w:t xml:space="preserve"> wins Appeal for Universal Credit</w:t>
      </w:r>
      <w:r>
        <w:rPr>
          <w:rFonts w:cs="Arial"/>
          <w:color w:val="000000"/>
          <w:sz w:val="22"/>
          <w:szCs w:val="22"/>
        </w:rPr>
        <w:t xml:space="preserve"> on the grounds of Electromagnetic Hypersensitivity (EHS)</w:t>
      </w:r>
    </w:p>
    <w:p w14:paraId="0BC373BF" w14:textId="5D7ED1BE" w:rsidR="002B7465" w:rsidRDefault="00000000">
      <w:pPr>
        <w:spacing w:line="288" w:lineRule="auto"/>
        <w:rPr>
          <w:rFonts w:hint="eastAsia"/>
          <w:sz w:val="22"/>
          <w:szCs w:val="22"/>
        </w:rPr>
      </w:pPr>
      <w:hyperlink r:id="rId26">
        <w:r>
          <w:rPr>
            <w:rStyle w:val="Hyperlink"/>
            <w:rFonts w:cs="Arial"/>
            <w:sz w:val="22"/>
            <w:szCs w:val="22"/>
          </w:rPr>
          <w:t>https://assets.publishing.service.gov.uk/media/62f3997ed3bf7f5c11330ea3/ua-2022-000328-hs__002_.pdf</w:t>
        </w:r>
      </w:hyperlink>
    </w:p>
    <w:p w14:paraId="643C3090" w14:textId="77777777" w:rsidR="002B7465" w:rsidRDefault="00000000">
      <w:pPr>
        <w:spacing w:line="288" w:lineRule="auto"/>
        <w:rPr>
          <w:rFonts w:cs="Arial" w:hint="eastAsia"/>
          <w:color w:val="000000"/>
          <w:sz w:val="22"/>
          <w:szCs w:val="22"/>
        </w:rPr>
      </w:pPr>
      <w:hyperlink r:id="rId27">
        <w:r>
          <w:rPr>
            <w:rStyle w:val="Hyperlink"/>
            <w:rFonts w:cs="Arial"/>
            <w:color w:val="000000"/>
            <w:sz w:val="22"/>
            <w:szCs w:val="22"/>
            <w:u w:val="none"/>
          </w:rPr>
          <w:t>https://phiremedical.org/news/</w:t>
        </w:r>
      </w:hyperlink>
    </w:p>
    <w:p w14:paraId="741FFDC5" w14:textId="77777777" w:rsidR="002B7465" w:rsidRDefault="00000000">
      <w:pPr>
        <w:spacing w:line="288" w:lineRule="auto"/>
        <w:rPr>
          <w:rFonts w:hint="eastAsia"/>
          <w:sz w:val="22"/>
          <w:szCs w:val="22"/>
        </w:rPr>
      </w:pPr>
      <w:r>
        <w:rPr>
          <w:rFonts w:cs="Arial"/>
          <w:color w:val="000000"/>
          <w:sz w:val="22"/>
          <w:szCs w:val="22"/>
        </w:rPr>
        <w:t xml:space="preserve"> </w:t>
      </w:r>
    </w:p>
    <w:p w14:paraId="0A575945" w14:textId="77777777" w:rsidR="002B7465" w:rsidRDefault="00000000">
      <w:pPr>
        <w:spacing w:line="288" w:lineRule="auto"/>
        <w:rPr>
          <w:rFonts w:cs="Arial" w:hint="eastAsia"/>
          <w:b/>
          <w:bCs/>
          <w:color w:val="000000"/>
          <w:sz w:val="22"/>
          <w:szCs w:val="22"/>
        </w:rPr>
      </w:pPr>
      <w:r>
        <w:rPr>
          <w:rFonts w:cs="Arial"/>
          <w:b/>
          <w:bCs/>
          <w:i/>
          <w:iCs/>
          <w:color w:val="2A6099"/>
          <w:sz w:val="22"/>
          <w:szCs w:val="22"/>
        </w:rPr>
        <w:t>A2.13.2</w:t>
      </w:r>
      <w:proofErr w:type="gramStart"/>
      <w:r>
        <w:rPr>
          <w:rFonts w:cs="Arial"/>
          <w:b/>
          <w:bCs/>
          <w:i/>
          <w:iCs/>
          <w:color w:val="2A6099"/>
          <w:sz w:val="22"/>
          <w:szCs w:val="22"/>
        </w:rPr>
        <w:t xml:space="preserve">) </w:t>
      </w:r>
      <w:r>
        <w:rPr>
          <w:rFonts w:cs="Arial"/>
          <w:b/>
          <w:bCs/>
          <w:i/>
          <w:iCs/>
          <w:color w:val="000000"/>
          <w:sz w:val="22"/>
          <w:szCs w:val="22"/>
        </w:rPr>
        <w:t xml:space="preserve"> ‘</w:t>
      </w:r>
      <w:proofErr w:type="spellStart"/>
      <w:proofErr w:type="gramEnd"/>
      <w:r>
        <w:rPr>
          <w:rFonts w:cs="Arial"/>
          <w:b/>
          <w:bCs/>
          <w:i/>
          <w:iCs/>
          <w:color w:val="000000"/>
          <w:sz w:val="22"/>
          <w:szCs w:val="22"/>
        </w:rPr>
        <w:t>Electrohypersensitivity</w:t>
      </w:r>
      <w:proofErr w:type="spellEnd"/>
      <w:r>
        <w:rPr>
          <w:rFonts w:cs="Arial"/>
          <w:b/>
          <w:bCs/>
          <w:i/>
          <w:iCs/>
          <w:color w:val="000000"/>
          <w:sz w:val="22"/>
          <w:szCs w:val="22"/>
        </w:rPr>
        <w:t xml:space="preserve"> (EHS) is an Environmentally-Induced Disability that Requires Immediate Attention</w:t>
      </w:r>
      <w:r>
        <w:rPr>
          <w:rFonts w:cs="Arial"/>
          <w:b/>
          <w:bCs/>
          <w:color w:val="000000"/>
          <w:sz w:val="22"/>
          <w:szCs w:val="22"/>
        </w:rPr>
        <w:t xml:space="preserve">’ Magda Havas’ (2019)  </w:t>
      </w:r>
    </w:p>
    <w:p w14:paraId="5408525B" w14:textId="77777777" w:rsidR="002B7465" w:rsidRDefault="00000000">
      <w:pPr>
        <w:spacing w:line="288" w:lineRule="auto"/>
        <w:rPr>
          <w:rFonts w:cs="Arial" w:hint="eastAsia"/>
          <w:color w:val="000000"/>
          <w:sz w:val="22"/>
          <w:szCs w:val="22"/>
        </w:rPr>
      </w:pPr>
      <w:hyperlink r:id="rId28">
        <w:r>
          <w:rPr>
            <w:rStyle w:val="Hyperlink"/>
            <w:rFonts w:cs="Arial"/>
            <w:sz w:val="22"/>
            <w:szCs w:val="22"/>
          </w:rPr>
          <w:t>https://www.icnirp.org/cms/upload/publications/ICNIRPemfgdl.pdf</w:t>
        </w:r>
      </w:hyperlink>
    </w:p>
    <w:p w14:paraId="5E4C3FEE" w14:textId="77777777" w:rsidR="002B7465" w:rsidRDefault="002B7465">
      <w:pPr>
        <w:spacing w:line="288" w:lineRule="auto"/>
        <w:rPr>
          <w:rFonts w:hint="eastAsia"/>
          <w:sz w:val="22"/>
          <w:szCs w:val="22"/>
        </w:rPr>
      </w:pPr>
    </w:p>
    <w:p w14:paraId="2E3D6341" w14:textId="4575A4CF" w:rsidR="002B7465" w:rsidRDefault="00000000">
      <w:pPr>
        <w:spacing w:line="288" w:lineRule="auto"/>
        <w:rPr>
          <w:rFonts w:hint="eastAsia"/>
          <w:sz w:val="22"/>
          <w:szCs w:val="22"/>
        </w:rPr>
      </w:pPr>
      <w:r>
        <w:rPr>
          <w:rFonts w:cs="Arial"/>
          <w:color w:val="000000"/>
          <w:sz w:val="22"/>
          <w:szCs w:val="22"/>
        </w:rPr>
        <w:t>‘Each day the number of EHS sufferers increases. According to new estimates, between 3% and 5% of the population are electro-</w:t>
      </w:r>
      <w:proofErr w:type="gramStart"/>
      <w:r>
        <w:rPr>
          <w:rFonts w:cs="Arial"/>
          <w:color w:val="000000"/>
          <w:sz w:val="22"/>
          <w:szCs w:val="22"/>
        </w:rPr>
        <w:t>sensitive’</w:t>
      </w:r>
      <w:proofErr w:type="gramEnd"/>
    </w:p>
    <w:p w14:paraId="04158DA2" w14:textId="77777777" w:rsidR="002B7465" w:rsidRDefault="00000000">
      <w:pPr>
        <w:spacing w:line="288" w:lineRule="auto"/>
        <w:rPr>
          <w:rFonts w:hint="eastAsia"/>
          <w:sz w:val="22"/>
          <w:szCs w:val="22"/>
        </w:rPr>
      </w:pPr>
      <w:r>
        <w:rPr>
          <w:rFonts w:cs="Arial"/>
          <w:color w:val="000000"/>
          <w:sz w:val="22"/>
          <w:szCs w:val="22"/>
        </w:rPr>
        <w:t>Havas (2019 paper, above) reports that,</w:t>
      </w:r>
    </w:p>
    <w:p w14:paraId="49E72B3C" w14:textId="77777777" w:rsidR="002B7465" w:rsidRDefault="00000000">
      <w:pPr>
        <w:spacing w:line="288" w:lineRule="auto"/>
        <w:rPr>
          <w:rFonts w:cs="Arial" w:hint="eastAsia"/>
          <w:color w:val="000000"/>
          <w:sz w:val="22"/>
          <w:szCs w:val="22"/>
        </w:rPr>
      </w:pPr>
      <w:r>
        <w:rPr>
          <w:rFonts w:cs="Arial"/>
          <w:color w:val="000000"/>
          <w:sz w:val="22"/>
          <w:szCs w:val="22"/>
        </w:rPr>
        <w:t>‘</w:t>
      </w:r>
      <w:r>
        <w:rPr>
          <w:rFonts w:cs="Arial"/>
          <w:i/>
          <w:iCs/>
          <w:color w:val="000000"/>
          <w:sz w:val="22"/>
          <w:szCs w:val="22"/>
        </w:rPr>
        <w:t xml:space="preserve">a disability is an impairment that may be cognitive, developmental, intellectual, mental, physical, sensory or some combination of these. It substantially affects a person's life activities and may be present from birth or occur during a person's lifetime. The EHS symptoms mentioned above include sensory disturbances, physical disturbances, cognitive impairment, </w:t>
      </w:r>
      <w:proofErr w:type="gramStart"/>
      <w:r>
        <w:rPr>
          <w:rFonts w:cs="Arial"/>
          <w:i/>
          <w:iCs/>
          <w:color w:val="000000"/>
          <w:sz w:val="22"/>
          <w:szCs w:val="22"/>
        </w:rPr>
        <w:t>and also</w:t>
      </w:r>
      <w:proofErr w:type="gramEnd"/>
      <w:r>
        <w:rPr>
          <w:rFonts w:cs="Arial"/>
          <w:i/>
          <w:iCs/>
          <w:color w:val="000000"/>
          <w:sz w:val="22"/>
          <w:szCs w:val="22"/>
        </w:rPr>
        <w:t xml:space="preserve"> intellectual, mental and developmental problems that are covered under the definition of disabilities</w:t>
      </w:r>
      <w:r>
        <w:rPr>
          <w:rFonts w:cs="Arial"/>
          <w:color w:val="000000"/>
          <w:sz w:val="22"/>
          <w:szCs w:val="22"/>
        </w:rPr>
        <w:t>’,</w:t>
      </w:r>
    </w:p>
    <w:p w14:paraId="44727D28" w14:textId="77777777" w:rsidR="002B7465" w:rsidRDefault="002B7465">
      <w:pPr>
        <w:spacing w:line="288" w:lineRule="auto"/>
        <w:rPr>
          <w:rFonts w:hint="eastAsia"/>
          <w:sz w:val="22"/>
          <w:szCs w:val="22"/>
        </w:rPr>
      </w:pPr>
    </w:p>
    <w:p w14:paraId="773831A2" w14:textId="77777777" w:rsidR="002B7465" w:rsidRDefault="00000000">
      <w:pPr>
        <w:spacing w:line="288" w:lineRule="auto"/>
        <w:rPr>
          <w:rFonts w:cs="Arial" w:hint="eastAsia"/>
          <w:color w:val="000000"/>
          <w:sz w:val="22"/>
          <w:szCs w:val="22"/>
        </w:rPr>
      </w:pPr>
      <w:r>
        <w:rPr>
          <w:rFonts w:cs="Arial"/>
          <w:color w:val="000000"/>
          <w:sz w:val="22"/>
          <w:szCs w:val="22"/>
        </w:rPr>
        <w:t>The screening for avoidable harm, injury, and nuisance needs to acknowledge and seek to accommodate the needs of people with EHS disability.</w:t>
      </w:r>
    </w:p>
    <w:p w14:paraId="41D50658" w14:textId="77777777" w:rsidR="002B7465" w:rsidRDefault="002B7465">
      <w:pPr>
        <w:spacing w:line="288" w:lineRule="auto"/>
        <w:rPr>
          <w:rFonts w:hint="eastAsia"/>
          <w:sz w:val="22"/>
          <w:szCs w:val="22"/>
        </w:rPr>
      </w:pPr>
    </w:p>
    <w:p w14:paraId="3E0BEFE0" w14:textId="07DD3B99" w:rsidR="002B7465" w:rsidRDefault="00000000" w:rsidP="002B7465">
      <w:pPr>
        <w:pStyle w:val="Heading3"/>
        <w:spacing w:before="0" w:after="0" w:line="288" w:lineRule="auto"/>
        <w:rPr>
          <w:rFonts w:cs="Arial" w:hint="eastAsia"/>
          <w:color w:val="3465A4"/>
          <w:sz w:val="24"/>
          <w:szCs w:val="24"/>
        </w:rPr>
      </w:pPr>
      <w:bookmarkStart w:id="37" w:name="__RefHeading___Toc7555_2626648583"/>
      <w:bookmarkEnd w:id="37"/>
      <w:r>
        <w:rPr>
          <w:rFonts w:cs="Arial"/>
          <w:color w:val="3465A4"/>
          <w:sz w:val="24"/>
          <w:szCs w:val="24"/>
        </w:rPr>
        <w:t>A2.14 ICBE-EMF ICNIRP’s FALSE ASSUMPTIONS</w:t>
      </w:r>
    </w:p>
    <w:p w14:paraId="4998A50F" w14:textId="77777777" w:rsidR="004D662A" w:rsidRPr="004D662A" w:rsidRDefault="004D662A" w:rsidP="004D662A">
      <w:pPr>
        <w:pStyle w:val="BodyText"/>
        <w:rPr>
          <w:rFonts w:hint="eastAsia"/>
        </w:rPr>
      </w:pPr>
    </w:p>
    <w:p w14:paraId="6AFE3AC4" w14:textId="77777777" w:rsidR="002B7465" w:rsidRDefault="00000000">
      <w:pPr>
        <w:pStyle w:val="BodyText"/>
        <w:spacing w:after="0" w:line="288" w:lineRule="auto"/>
        <w:rPr>
          <w:rFonts w:hint="eastAsia"/>
        </w:rPr>
      </w:pPr>
      <w:r>
        <w:t>‘</w:t>
      </w:r>
      <w:r>
        <w:rPr>
          <w:b/>
          <w:bCs/>
        </w:rPr>
        <w:t xml:space="preserve">Scientific evidence invalidates health assumptions underlying the FCC and ICNIRP exposure limit determinations for radiofrequency radiation: implications for </w:t>
      </w:r>
      <w:proofErr w:type="gramStart"/>
      <w:r>
        <w:rPr>
          <w:b/>
          <w:bCs/>
        </w:rPr>
        <w:t>5G</w:t>
      </w:r>
      <w:r>
        <w:t>’</w:t>
      </w:r>
      <w:proofErr w:type="gramEnd"/>
    </w:p>
    <w:p w14:paraId="36215B9A" w14:textId="77777777" w:rsidR="002B7465" w:rsidRDefault="00000000">
      <w:pPr>
        <w:spacing w:line="288" w:lineRule="auto"/>
        <w:rPr>
          <w:rFonts w:cs="Arial" w:hint="eastAsia"/>
          <w:color w:val="000000"/>
          <w:sz w:val="22"/>
          <w:szCs w:val="22"/>
        </w:rPr>
      </w:pPr>
      <w:hyperlink r:id="rId29">
        <w:r>
          <w:rPr>
            <w:rStyle w:val="Hyperlink"/>
            <w:rFonts w:cs="Arial"/>
            <w:sz w:val="22"/>
            <w:szCs w:val="22"/>
          </w:rPr>
          <w:t>https://icbe-emf.org/wp-content/uploads/2022/10/ICBE-EMF-paper-12940_2022_900_OnlinePDF_Patched-1.pdf</w:t>
        </w:r>
      </w:hyperlink>
    </w:p>
    <w:p w14:paraId="38C3FA16" w14:textId="77777777" w:rsidR="002B7465" w:rsidRDefault="002B7465">
      <w:pPr>
        <w:spacing w:line="288" w:lineRule="auto"/>
        <w:rPr>
          <w:rFonts w:hint="eastAsia"/>
          <w:sz w:val="22"/>
          <w:szCs w:val="22"/>
        </w:rPr>
      </w:pPr>
    </w:p>
    <w:p w14:paraId="515E0159" w14:textId="77777777" w:rsidR="002B7465" w:rsidRDefault="002B7465">
      <w:pPr>
        <w:spacing w:line="288" w:lineRule="auto"/>
        <w:rPr>
          <w:rFonts w:cs="Arial" w:hint="eastAsia"/>
          <w:color w:val="000000"/>
        </w:rPr>
      </w:pPr>
    </w:p>
    <w:p w14:paraId="1E6687A1" w14:textId="77777777" w:rsidR="002B7465" w:rsidRDefault="002B7465">
      <w:pPr>
        <w:spacing w:line="288" w:lineRule="auto"/>
        <w:ind w:left="720" w:hanging="360"/>
        <w:rPr>
          <w:rFonts w:cs="Arial" w:hint="eastAsia"/>
          <w:color w:val="000000"/>
          <w:sz w:val="22"/>
          <w:szCs w:val="22"/>
        </w:rPr>
      </w:pPr>
    </w:p>
    <w:p w14:paraId="5E6DEC3A" w14:textId="77777777" w:rsidR="002B7465" w:rsidRDefault="002B7465">
      <w:pPr>
        <w:spacing w:line="288" w:lineRule="auto"/>
        <w:ind w:left="720" w:hanging="360"/>
        <w:rPr>
          <w:rFonts w:cs="Arial" w:hint="eastAsia"/>
          <w:color w:val="000000"/>
          <w:sz w:val="22"/>
          <w:szCs w:val="22"/>
        </w:rPr>
      </w:pPr>
    </w:p>
    <w:sectPr w:rsidR="002B7465" w:rsidSect="006956CA">
      <w:pgSz w:w="11906" w:h="16838"/>
      <w:pgMar w:top="567" w:right="1134" w:bottom="567"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OpenSymbol">
    <w:altName w:val="Calibri"/>
    <w:panose1 w:val="020B0604020202020204"/>
    <w:charset w:val="01"/>
    <w:family w:val="auto"/>
    <w:pitch w:val="variable"/>
  </w:font>
  <w:font w:name="Amiri">
    <w:altName w:val="Calibri"/>
    <w:panose1 w:val="020B0604020202020204"/>
    <w:charset w:val="01"/>
    <w:family w:val="auto"/>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880"/>
    <w:multiLevelType w:val="multilevel"/>
    <w:tmpl w:val="15E07BB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F02AEC"/>
    <w:multiLevelType w:val="multilevel"/>
    <w:tmpl w:val="96B2A9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5A46F64"/>
    <w:multiLevelType w:val="multilevel"/>
    <w:tmpl w:val="300C98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73216BA"/>
    <w:multiLevelType w:val="multilevel"/>
    <w:tmpl w:val="2BD846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68A1165"/>
    <w:multiLevelType w:val="multilevel"/>
    <w:tmpl w:val="02667C0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9400E86"/>
    <w:multiLevelType w:val="multilevel"/>
    <w:tmpl w:val="955ED0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50F5C1D"/>
    <w:multiLevelType w:val="multilevel"/>
    <w:tmpl w:val="0D8C37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7C15F90"/>
    <w:multiLevelType w:val="multilevel"/>
    <w:tmpl w:val="E4F410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1222D4E"/>
    <w:multiLevelType w:val="multilevel"/>
    <w:tmpl w:val="9790D3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83F4BF3"/>
    <w:multiLevelType w:val="multilevel"/>
    <w:tmpl w:val="EE12B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481574369">
    <w:abstractNumId w:val="0"/>
  </w:num>
  <w:num w:numId="2" w16cid:durableId="1633829246">
    <w:abstractNumId w:val="9"/>
  </w:num>
  <w:num w:numId="3" w16cid:durableId="808939612">
    <w:abstractNumId w:val="1"/>
  </w:num>
  <w:num w:numId="4" w16cid:durableId="1638758198">
    <w:abstractNumId w:val="3"/>
  </w:num>
  <w:num w:numId="5" w16cid:durableId="530536356">
    <w:abstractNumId w:val="4"/>
  </w:num>
  <w:num w:numId="6" w16cid:durableId="247466552">
    <w:abstractNumId w:val="6"/>
  </w:num>
  <w:num w:numId="7" w16cid:durableId="1108625214">
    <w:abstractNumId w:val="8"/>
  </w:num>
  <w:num w:numId="8" w16cid:durableId="1048527431">
    <w:abstractNumId w:val="2"/>
  </w:num>
  <w:num w:numId="9" w16cid:durableId="2071220946">
    <w:abstractNumId w:val="7"/>
  </w:num>
  <w:num w:numId="10" w16cid:durableId="200281223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er perceval">
    <w15:presenceInfo w15:providerId="Windows Live" w15:userId="b3846f08b01615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65"/>
    <w:rsid w:val="00134A16"/>
    <w:rsid w:val="001E039A"/>
    <w:rsid w:val="002B7465"/>
    <w:rsid w:val="003242E0"/>
    <w:rsid w:val="0036769C"/>
    <w:rsid w:val="004D662A"/>
    <w:rsid w:val="006956CA"/>
    <w:rsid w:val="006B157E"/>
    <w:rsid w:val="008446CD"/>
    <w:rsid w:val="00962878"/>
    <w:rsid w:val="00AD61FC"/>
    <w:rsid w:val="00E04463"/>
    <w:rsid w:val="00E9222D"/>
    <w:rsid w:val="00EA738E"/>
    <w:rsid w:val="00ED35B4"/>
    <w:rsid w:val="00F64AEA"/>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decimalSymbol w:val="."/>
  <w:listSeparator w:val=","/>
  <w14:docId w14:val="6589F1B4"/>
  <w15:docId w15:val="{112D47BA-33EF-E643-81BB-7AF4F175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miri" w:eastAsia="NSimSun" w:hAnsi="Amiri" w:cs="Lucida San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numPr>
        <w:numId w:val="1"/>
      </w:numPr>
      <w:outlineLvl w:val="0"/>
    </w:pPr>
    <w:rPr>
      <w:b/>
      <w:bCs/>
      <w:sz w:val="36"/>
      <w:szCs w:val="36"/>
    </w:rPr>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paragraph" w:styleId="Heading3">
    <w:name w:val="heading 3"/>
    <w:basedOn w:val="Heading"/>
    <w:next w:val="BodyText"/>
    <w:uiPriority w:val="9"/>
    <w:unhideWhenUsed/>
    <w:qFormat/>
    <w:pPr>
      <w:numPr>
        <w:ilvl w:val="2"/>
        <w:numId w:val="1"/>
      </w:numPr>
      <w:spacing w:before="140"/>
      <w:outlineLvl w:val="2"/>
    </w:pPr>
    <w:rPr>
      <w:b/>
      <w:bCs/>
      <w:sz w:val="22"/>
    </w:rPr>
  </w:style>
  <w:style w:type="paragraph" w:styleId="Heading4">
    <w:name w:val="heading 4"/>
    <w:basedOn w:val="Heading"/>
    <w:next w:val="BodyText"/>
    <w:uiPriority w:val="9"/>
    <w:semiHidden/>
    <w:unhideWhenUsed/>
    <w:qFormat/>
    <w:pPr>
      <w:numPr>
        <w:ilvl w:val="3"/>
        <w:numId w:val="1"/>
      </w:numPr>
      <w:spacing w:before="120"/>
      <w:outlineLvl w:val="3"/>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styleId="Hyperlink">
    <w:name w:val="Hyperlink"/>
    <w:rPr>
      <w:color w:val="000080"/>
      <w:u w:val="single"/>
    </w:rPr>
  </w:style>
  <w:style w:type="character" w:customStyle="1" w:styleId="DefaultParagraphFont1">
    <w:name w:val="Default Paragraph Font1"/>
    <w:qFormat/>
  </w:style>
  <w:style w:type="character" w:customStyle="1" w:styleId="apple-converted-space">
    <w:name w:val="apple-converted-space"/>
    <w:basedOn w:val="DefaultParagraphFont1"/>
    <w:qFormat/>
    <w:rPr>
      <w:sz w:val="24"/>
      <w:szCs w:val="24"/>
    </w:rPr>
  </w:style>
  <w:style w:type="character" w:styleId="FollowedHyperlink">
    <w:name w:val="FollowedHyperlink"/>
    <w:rPr>
      <w:color w:val="800000"/>
      <w:u w:val="single"/>
    </w:rPr>
  </w:style>
  <w:style w:type="character" w:customStyle="1" w:styleId="Bullets">
    <w:name w:val="Bullets"/>
    <w:qFormat/>
    <w:rPr>
      <w:rFonts w:ascii="OpenSymbol" w:eastAsia="OpenSymbol" w:hAnsi="OpenSymbol" w:cs="OpenSymbol"/>
    </w:rPr>
  </w:style>
  <w:style w:type="character" w:customStyle="1" w:styleId="IndexLink">
    <w:name w:val="Index Link"/>
    <w:qFormat/>
  </w:style>
  <w:style w:type="character" w:customStyle="1" w:styleId="CommentTextChar">
    <w:name w:val="Comment Text Char"/>
    <w:basedOn w:val="DefaultParagraphFont"/>
    <w:link w:val="CommentText"/>
    <w:uiPriority w:val="99"/>
    <w:semiHidden/>
    <w:qFormat/>
    <w:rPr>
      <w:rFonts w:cs="Mangal"/>
      <w:sz w:val="20"/>
      <w:szCs w:val="18"/>
    </w:rPr>
  </w:style>
  <w:style w:type="character" w:styleId="CommentReference">
    <w:name w:val="annotation reference"/>
    <w:basedOn w:val="DefaultParagraphFont"/>
    <w:uiPriority w:val="99"/>
    <w:semiHidden/>
    <w:unhideWhenUsed/>
    <w:qFormat/>
    <w:rPr>
      <w:sz w:val="16"/>
      <w:szCs w:val="16"/>
    </w:rPr>
  </w:style>
  <w:style w:type="character" w:customStyle="1" w:styleId="CommentSubjectChar">
    <w:name w:val="Comment Subject Char"/>
    <w:basedOn w:val="CommentTextChar"/>
    <w:link w:val="CommentSubject"/>
    <w:uiPriority w:val="99"/>
    <w:semiHidden/>
    <w:qFormat/>
    <w:rsid w:val="00D54FCC"/>
    <w:rPr>
      <w:rFonts w:cs="Mangal"/>
      <w:b/>
      <w:bCs/>
      <w:sz w:val="20"/>
      <w:szCs w:val="18"/>
    </w:rPr>
  </w:style>
  <w:style w:type="character" w:styleId="UnresolvedMention">
    <w:name w:val="Unresolved Mention"/>
    <w:basedOn w:val="DefaultParagraphFont"/>
    <w:uiPriority w:val="99"/>
    <w:semiHidden/>
    <w:unhideWhenUsed/>
    <w:qFormat/>
    <w:rsid w:val="00D54FCC"/>
    <w:rPr>
      <w:color w:val="605E5C"/>
      <w:shd w:val="clear" w:color="auto" w:fill="E1DFDD"/>
    </w:rPr>
  </w:style>
  <w:style w:type="character" w:styleId="LineNumber">
    <w:name w:val="line number"/>
  </w:style>
  <w:style w:type="paragraph" w:customStyle="1" w:styleId="Heading">
    <w:name w:val="Heading"/>
    <w:basedOn w:val="Normal"/>
    <w:next w:val="BodyText"/>
    <w:qFormat/>
    <w:pPr>
      <w:keepNext/>
      <w:spacing w:before="240" w:after="120"/>
    </w:pPr>
    <w:rPr>
      <w:rFonts w:eastAsia="Microsoft YaHei"/>
      <w:sz w:val="28"/>
      <w:szCs w:val="28"/>
    </w:rPr>
  </w:style>
  <w:style w:type="paragraph" w:styleId="BodyText">
    <w:name w:val="Body Text"/>
    <w:basedOn w:val="Normal"/>
    <w:pPr>
      <w:spacing w:after="140" w:line="276" w:lineRule="auto"/>
    </w:pPr>
    <w:rPr>
      <w:sz w:val="22"/>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qFormat/>
    <w:pPr>
      <w:spacing w:before="100" w:after="100"/>
    </w:pPr>
  </w:style>
  <w:style w:type="paragraph" w:customStyle="1" w:styleId="Standard">
    <w:name w:val="Standard"/>
    <w:qFormat/>
    <w:pPr>
      <w:widowControl w:val="0"/>
      <w:textAlignment w:val="baseline"/>
    </w:pPr>
    <w:rPr>
      <w:rFonts w:ascii="Arial" w:eastAsia="Arial Unicode MS" w:hAnsi="Arial" w:cs="Arial Unicode MS"/>
    </w:rPr>
  </w:style>
  <w:style w:type="paragraph" w:customStyle="1" w:styleId="standard0">
    <w:name w:val="standard"/>
    <w:basedOn w:val="Normal"/>
    <w:qFormat/>
    <w:pPr>
      <w:spacing w:before="100" w:after="100"/>
    </w:pPr>
  </w:style>
  <w:style w:type="paragraph" w:styleId="FootnoteText">
    <w:name w:val="footnote text"/>
    <w:basedOn w:val="Normal"/>
  </w:style>
  <w:style w:type="paragraph" w:styleId="ListParagraph">
    <w:name w:val="List Paragraph"/>
    <w:basedOn w:val="Normal"/>
    <w:qFormat/>
    <w:pPr>
      <w:ind w:left="720"/>
      <w:contextualSpacing/>
    </w:pPr>
  </w:style>
  <w:style w:type="paragraph" w:styleId="IndexHeading">
    <w:name w:val="index heading"/>
    <w:basedOn w:val="Heading"/>
  </w:style>
  <w:style w:type="paragraph" w:styleId="TOCHeading">
    <w:name w:val="TOC Heading"/>
    <w:basedOn w:val="IndexHeading"/>
  </w:style>
  <w:style w:type="paragraph" w:styleId="TOC2">
    <w:name w:val="toc 2"/>
    <w:basedOn w:val="Index"/>
    <w:pPr>
      <w:tabs>
        <w:tab w:val="right" w:leader="dot" w:pos="9638"/>
      </w:tabs>
      <w:ind w:left="283"/>
    </w:pPr>
  </w:style>
  <w:style w:type="paragraph" w:styleId="TOC3">
    <w:name w:val="toc 3"/>
    <w:basedOn w:val="Index"/>
    <w:pPr>
      <w:tabs>
        <w:tab w:val="right" w:leader="dot" w:pos="9638"/>
      </w:tabs>
      <w:ind w:left="567"/>
    </w:pPr>
  </w:style>
  <w:style w:type="paragraph" w:styleId="TOC1">
    <w:name w:val="toc 1"/>
    <w:basedOn w:val="Index"/>
    <w:pPr>
      <w:tabs>
        <w:tab w:val="right" w:leader="dot" w:pos="10772"/>
      </w:tabs>
    </w:pPr>
  </w:style>
  <w:style w:type="paragraph" w:styleId="CommentText">
    <w:name w:val="annotation text"/>
    <w:basedOn w:val="Normal"/>
    <w:link w:val="CommentTextChar"/>
    <w:uiPriority w:val="99"/>
    <w:semiHidden/>
    <w:unhideWhenUsed/>
    <w:qFormat/>
    <w:rPr>
      <w:rFonts w:cs="Mangal"/>
      <w:sz w:val="20"/>
      <w:szCs w:val="18"/>
    </w:rPr>
  </w:style>
  <w:style w:type="paragraph" w:styleId="Revision">
    <w:name w:val="Revision"/>
    <w:uiPriority w:val="99"/>
    <w:semiHidden/>
    <w:qFormat/>
    <w:rsid w:val="00EA7324"/>
    <w:pPr>
      <w:suppressAutoHyphens w:val="0"/>
    </w:pPr>
    <w:rPr>
      <w:rFonts w:cs="Mangal"/>
      <w:szCs w:val="21"/>
    </w:rPr>
  </w:style>
  <w:style w:type="paragraph" w:styleId="CommentSubject">
    <w:name w:val="annotation subject"/>
    <w:basedOn w:val="CommentText"/>
    <w:next w:val="CommentText"/>
    <w:link w:val="CommentSubjectChar"/>
    <w:uiPriority w:val="99"/>
    <w:semiHidden/>
    <w:unhideWhenUsed/>
    <w:qFormat/>
    <w:rsid w:val="00D54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afetechinternational.org/wp-content/uploads/2023/09/EECCsubmission12-9-2023-info-version.pdf" TargetMode="External"/><Relationship Id="rId13" Type="http://schemas.openxmlformats.org/officeDocument/2006/relationships/hyperlink" Target="https://www.researchgate.net/publication/337624982_Limiting_liability_with_positioning_to_minimize_negative_health_effects_of_cellular_phone_towers" TargetMode="External"/><Relationship Id="rId18" Type="http://schemas.openxmlformats.org/officeDocument/2006/relationships/hyperlink" Target="https://phiremedical.org/2020-nir-consensus-statement-read/" TargetMode="External"/><Relationship Id="rId26" Type="http://schemas.openxmlformats.org/officeDocument/2006/relationships/hyperlink" Target="https://assets.publishing.service.gov.uk/media/62f3997ed3bf7f5c11330ea3/ua-2022-000328-hs__002_.pdf" TargetMode="External"/><Relationship Id="rId3" Type="http://schemas.openxmlformats.org/officeDocument/2006/relationships/settings" Target="settings.xml"/><Relationship Id="rId21" Type="http://schemas.openxmlformats.org/officeDocument/2006/relationships/hyperlink" Target="http://www.radiationresearch.org/articles/on-the-clear-evidence-of-the-risks-to-children-from-non-ionizing-radio-frequency-radiation-the-case-of-digital-technologies-in-the-home-classroom-and-society/" TargetMode="External"/><Relationship Id="rId7" Type="http://schemas.openxmlformats.org/officeDocument/2006/relationships/hyperlink" Target="https://www.icnirp.org/en/activities/news/news-article/certificate.html" TargetMode="External"/><Relationship Id="rId12" Type="http://schemas.openxmlformats.org/officeDocument/2006/relationships/hyperlink" Target="https://pubmed.ncbi.nlm.nih.gov/33434609/" TargetMode="External"/><Relationship Id="rId17" Type="http://schemas.openxmlformats.org/officeDocument/2006/relationships/hyperlink" Target="../../../../Downloads/.&#160;https://phiremedical.org/wp-content/uploads/2020/11/2020-Non-Ionising-Radiation-Consensus-Statement.pdf" TargetMode="External"/><Relationship Id="rId25" Type="http://schemas.openxmlformats.org/officeDocument/2006/relationships/hyperlink" Target="https://ieeexplore.ieee.org/stamp/stamp.jsp?tp=&amp;arnumber=10215090"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ehtrust.org/environmental-health-trust-et-al-v-fcc-key-documents/" TargetMode="External"/><Relationship Id="rId29" Type="http://schemas.openxmlformats.org/officeDocument/2006/relationships/hyperlink" Target="https://icbe-emf.org/wp-content/uploads/2022/10/ICBE-EMF-paper-12940_2022_900_OnlinePDF_Patched-1.pdf" TargetMode="External"/><Relationship Id="rId1" Type="http://schemas.openxmlformats.org/officeDocument/2006/relationships/numbering" Target="numbering.xml"/><Relationship Id="rId6" Type="http://schemas.openxmlformats.org/officeDocument/2006/relationships/hyperlink" Target="https://safetechinternational.org/wp-content/uploads/2023/09/EECCsubmission12-9-2023-info-version.pdf" TargetMode="External"/><Relationship Id="rId11" Type="http://schemas.openxmlformats.org/officeDocument/2006/relationships/hyperlink" Target="https://www.youtube.com/watch?v=DWK74ie7krc" TargetMode="External"/><Relationship Id="rId24" Type="http://schemas.openxmlformats.org/officeDocument/2006/relationships/hyperlink" Target="https://www.frontiersin.org/articles/10.3389/fpubh.2022.1000840/full" TargetMode="External"/><Relationship Id="rId32" Type="http://schemas.openxmlformats.org/officeDocument/2006/relationships/theme" Target="theme/theme1.xml"/><Relationship Id="rId5" Type="http://schemas.openxmlformats.org/officeDocument/2006/relationships/hyperlink" Target="https://pubmed.ncbi.nlm.nih.gov/35751553/" TargetMode="External"/><Relationship Id="rId15" Type="http://schemas.openxmlformats.org/officeDocument/2006/relationships/hyperlink" Target="https://www.journalserapublications.com/issues/v01/i01/JEPL_1020240101001.pdf" TargetMode="External"/><Relationship Id="rId23" Type="http://schemas.openxmlformats.org/officeDocument/2006/relationships/hyperlink" Target="https://actionagainst5g.org/news/ecological-threat-of-rfr-and-5g/" TargetMode="External"/><Relationship Id="rId28" Type="http://schemas.openxmlformats.org/officeDocument/2006/relationships/hyperlink" Target="https://www.icnirp.org/cms/upload/publications/ICNIRPemfgdl.pdf" TargetMode="External"/><Relationship Id="rId10" Type="http://schemas.openxmlformats.org/officeDocument/2006/relationships/hyperlink" Target="https://ehtrust.org/pittsfield-ma-board-of-health-unanimously-votes-to-issue-cease-and-desist-for-verizon-cell-tower/" TargetMode="External"/><Relationship Id="rId19" Type="http://schemas.openxmlformats.org/officeDocument/2006/relationships/hyperlink" Target="https://actionagainst5g.org/wp-content/uploads/2020/05/Prof-Tom-Butler-Submission-on-5G.pdf"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Claire.jones@governmentlegal.gov.uk" TargetMode="External"/><Relationship Id="rId14" Type="http://schemas.openxmlformats.org/officeDocument/2006/relationships/hyperlink" Target="https://www.saferemr.com/2015/04/cell-tower-health-effects.html" TargetMode="External"/><Relationship Id="rId22" Type="http://schemas.openxmlformats.org/officeDocument/2006/relationships/hyperlink" Target="http://www.bmj.com/company/newsroom/stop-global-roll-out-of-5g-networks-until-safety-is-confirmed-urges-expert/" TargetMode="External"/><Relationship Id="rId27" Type="http://schemas.openxmlformats.org/officeDocument/2006/relationships/hyperlink" Target="https://phiremedical.org/new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10</Pages>
  <Words>3988</Words>
  <Characters>22738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oliver perceval</cp:lastModifiedBy>
  <cp:revision>21</cp:revision>
  <dcterms:created xsi:type="dcterms:W3CDTF">2024-03-27T22:10:00Z</dcterms:created>
  <dcterms:modified xsi:type="dcterms:W3CDTF">2024-04-26T08:03:00Z</dcterms:modified>
  <dc:language>en-GB</dc:language>
</cp:coreProperties>
</file>