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9E557" w14:textId="77777777" w:rsidR="00A37EC2" w:rsidRDefault="00A37EC2">
      <w:pPr>
        <w:rPr>
          <w:rFonts w:cs="Arial" w:hint="eastAsia"/>
          <w:color w:val="FF0000"/>
          <w:lang w:val="fr-FR"/>
        </w:rPr>
      </w:pPr>
      <w:bookmarkStart w:id="0" w:name="__RefHeading___Toc6521_2626648583"/>
      <w:bookmarkEnd w:id="0"/>
    </w:p>
    <w:sdt>
      <w:sdtPr>
        <w:rPr>
          <w:rFonts w:eastAsia="NSimSun"/>
          <w:b w:val="0"/>
          <w:bCs w:val="0"/>
          <w:sz w:val="24"/>
          <w:szCs w:val="24"/>
        </w:rPr>
        <w:id w:val="828410443"/>
        <w:docPartObj>
          <w:docPartGallery w:val="Table of Contents"/>
          <w:docPartUnique/>
        </w:docPartObj>
      </w:sdtPr>
      <w:sdtContent>
        <w:p w14:paraId="0F800490" w14:textId="77777777" w:rsidR="00A37EC2" w:rsidRDefault="00000000">
          <w:pPr>
            <w:pStyle w:val="TOCHeading"/>
            <w:rPr>
              <w:rFonts w:hint="eastAsia"/>
            </w:rPr>
          </w:pPr>
          <w:r>
            <w:t>OBJECTION CONTENTS</w:t>
          </w:r>
        </w:p>
        <w:p w14:paraId="7F80EF66" w14:textId="23157085" w:rsidR="00C56FEA" w:rsidRDefault="00000000">
          <w:pPr>
            <w:pStyle w:val="TOC2"/>
            <w:rPr>
              <w:rFonts w:asciiTheme="minorHAnsi" w:eastAsiaTheme="minorEastAsia" w:hAnsiTheme="minorHAnsi" w:cstheme="minorBidi"/>
              <w:noProof/>
              <w:lang w:bidi="ar-SA"/>
              <w14:ligatures w14:val="standardContextual"/>
            </w:rPr>
          </w:pPr>
          <w:r>
            <w:fldChar w:fldCharType="begin"/>
          </w:r>
          <w:r>
            <w:rPr>
              <w:rStyle w:val="IndexLink"/>
            </w:rPr>
            <w:instrText xml:space="preserve"> TOC \f \o "1-9" \h</w:instrText>
          </w:r>
          <w:r>
            <w:rPr>
              <w:rStyle w:val="IndexLink"/>
            </w:rPr>
            <w:fldChar w:fldCharType="separate"/>
          </w:r>
          <w:hyperlink w:anchor="_Toc210846937" w:history="1">
            <w:r w:rsidR="00C56FEA" w:rsidRPr="00E402B5">
              <w:rPr>
                <w:rStyle w:val="Hyperlink"/>
                <w:rFonts w:cs="Arial"/>
                <w:noProof/>
              </w:rPr>
              <w:t>OBJECTION – Planning App Ref No.</w:t>
            </w:r>
            <w:r w:rsidR="00C56FEA">
              <w:rPr>
                <w:noProof/>
              </w:rPr>
              <w:tab/>
            </w:r>
            <w:r w:rsidR="00C56FEA">
              <w:rPr>
                <w:noProof/>
              </w:rPr>
              <w:fldChar w:fldCharType="begin"/>
            </w:r>
            <w:r w:rsidR="00C56FEA">
              <w:rPr>
                <w:noProof/>
              </w:rPr>
              <w:instrText xml:space="preserve"> PAGEREF _Toc210846937 \h </w:instrText>
            </w:r>
            <w:r w:rsidR="00C56FEA">
              <w:rPr>
                <w:noProof/>
              </w:rPr>
            </w:r>
            <w:r w:rsidR="00C56FEA">
              <w:rPr>
                <w:rFonts w:hint="eastAsia"/>
                <w:noProof/>
              </w:rPr>
              <w:fldChar w:fldCharType="separate"/>
            </w:r>
            <w:r w:rsidR="00C56FEA">
              <w:rPr>
                <w:rFonts w:hint="eastAsia"/>
                <w:noProof/>
              </w:rPr>
              <w:t>1</w:t>
            </w:r>
            <w:r w:rsidR="00C56FEA">
              <w:rPr>
                <w:noProof/>
              </w:rPr>
              <w:fldChar w:fldCharType="end"/>
            </w:r>
          </w:hyperlink>
        </w:p>
        <w:p w14:paraId="106D0F86" w14:textId="2D65C017" w:rsidR="00C56FEA" w:rsidRDefault="00C56FEA">
          <w:pPr>
            <w:pStyle w:val="TOC2"/>
            <w:rPr>
              <w:rFonts w:asciiTheme="minorHAnsi" w:eastAsiaTheme="minorEastAsia" w:hAnsiTheme="minorHAnsi" w:cstheme="minorBidi"/>
              <w:noProof/>
              <w:lang w:bidi="ar-SA"/>
              <w14:ligatures w14:val="standardContextual"/>
            </w:rPr>
          </w:pPr>
          <w:hyperlink w:anchor="_Toc210846938" w:history="1">
            <w:r w:rsidRPr="00E402B5">
              <w:rPr>
                <w:rStyle w:val="Hyperlink"/>
                <w:noProof/>
              </w:rPr>
              <w:t>LOCATION</w:t>
            </w:r>
            <w:r>
              <w:rPr>
                <w:noProof/>
              </w:rPr>
              <w:tab/>
            </w:r>
            <w:r>
              <w:rPr>
                <w:noProof/>
              </w:rPr>
              <w:fldChar w:fldCharType="begin"/>
            </w:r>
            <w:r>
              <w:rPr>
                <w:noProof/>
              </w:rPr>
              <w:instrText xml:space="preserve"> PAGEREF _Toc210846938 \h </w:instrText>
            </w:r>
            <w:r>
              <w:rPr>
                <w:noProof/>
              </w:rPr>
            </w:r>
            <w:r>
              <w:rPr>
                <w:rFonts w:hint="eastAsia"/>
                <w:noProof/>
              </w:rPr>
              <w:fldChar w:fldCharType="separate"/>
            </w:r>
            <w:r>
              <w:rPr>
                <w:rFonts w:hint="eastAsia"/>
                <w:noProof/>
              </w:rPr>
              <w:t>1</w:t>
            </w:r>
            <w:r>
              <w:rPr>
                <w:noProof/>
              </w:rPr>
              <w:fldChar w:fldCharType="end"/>
            </w:r>
          </w:hyperlink>
        </w:p>
        <w:p w14:paraId="42F937B5" w14:textId="3DD65824" w:rsidR="00C56FEA" w:rsidRDefault="00C56FEA">
          <w:pPr>
            <w:pStyle w:val="TOC2"/>
            <w:rPr>
              <w:rFonts w:asciiTheme="minorHAnsi" w:eastAsiaTheme="minorEastAsia" w:hAnsiTheme="minorHAnsi" w:cstheme="minorBidi"/>
              <w:noProof/>
              <w:lang w:bidi="ar-SA"/>
              <w14:ligatures w14:val="standardContextual"/>
            </w:rPr>
          </w:pPr>
          <w:hyperlink w:anchor="_Toc210846939" w:history="1">
            <w:r w:rsidRPr="00E402B5">
              <w:rPr>
                <w:rStyle w:val="Hyperlink"/>
                <w:noProof/>
              </w:rPr>
              <w:t>APPEARANCE</w:t>
            </w:r>
            <w:r>
              <w:rPr>
                <w:noProof/>
              </w:rPr>
              <w:tab/>
            </w:r>
            <w:r>
              <w:rPr>
                <w:noProof/>
              </w:rPr>
              <w:fldChar w:fldCharType="begin"/>
            </w:r>
            <w:r>
              <w:rPr>
                <w:noProof/>
              </w:rPr>
              <w:instrText xml:space="preserve"> PAGEREF _Toc210846939 \h </w:instrText>
            </w:r>
            <w:r>
              <w:rPr>
                <w:noProof/>
              </w:rPr>
            </w:r>
            <w:r>
              <w:rPr>
                <w:rFonts w:hint="eastAsia"/>
                <w:noProof/>
              </w:rPr>
              <w:fldChar w:fldCharType="separate"/>
            </w:r>
            <w:r>
              <w:rPr>
                <w:rFonts w:hint="eastAsia"/>
                <w:noProof/>
              </w:rPr>
              <w:t>2</w:t>
            </w:r>
            <w:r>
              <w:rPr>
                <w:noProof/>
              </w:rPr>
              <w:fldChar w:fldCharType="end"/>
            </w:r>
          </w:hyperlink>
        </w:p>
        <w:p w14:paraId="6DDB0526" w14:textId="79392369" w:rsidR="00C56FEA" w:rsidRDefault="00C56FEA">
          <w:pPr>
            <w:pStyle w:val="TOC2"/>
            <w:rPr>
              <w:rFonts w:asciiTheme="minorHAnsi" w:eastAsiaTheme="minorEastAsia" w:hAnsiTheme="minorHAnsi" w:cstheme="minorBidi"/>
              <w:noProof/>
              <w:lang w:bidi="ar-SA"/>
              <w14:ligatures w14:val="standardContextual"/>
            </w:rPr>
          </w:pPr>
          <w:hyperlink w:anchor="_Toc210846940" w:history="1">
            <w:r w:rsidRPr="00E402B5">
              <w:rPr>
                <w:rStyle w:val="Hyperlink"/>
                <w:noProof/>
              </w:rPr>
              <w:t>JUSTIFICATION</w:t>
            </w:r>
            <w:r>
              <w:rPr>
                <w:noProof/>
              </w:rPr>
              <w:tab/>
            </w:r>
            <w:r>
              <w:rPr>
                <w:noProof/>
              </w:rPr>
              <w:fldChar w:fldCharType="begin"/>
            </w:r>
            <w:r>
              <w:rPr>
                <w:noProof/>
              </w:rPr>
              <w:instrText xml:space="preserve"> PAGEREF _Toc210846940 \h </w:instrText>
            </w:r>
            <w:r>
              <w:rPr>
                <w:noProof/>
              </w:rPr>
            </w:r>
            <w:r>
              <w:rPr>
                <w:rFonts w:hint="eastAsia"/>
                <w:noProof/>
              </w:rPr>
              <w:fldChar w:fldCharType="separate"/>
            </w:r>
            <w:r>
              <w:rPr>
                <w:rFonts w:hint="eastAsia"/>
                <w:noProof/>
              </w:rPr>
              <w:t>2</w:t>
            </w:r>
            <w:r>
              <w:rPr>
                <w:noProof/>
              </w:rPr>
              <w:fldChar w:fldCharType="end"/>
            </w:r>
          </w:hyperlink>
        </w:p>
        <w:p w14:paraId="06618050" w14:textId="29431A9C" w:rsidR="00C56FEA" w:rsidRDefault="00C56FEA">
          <w:pPr>
            <w:pStyle w:val="TOC2"/>
            <w:rPr>
              <w:rFonts w:asciiTheme="minorHAnsi" w:eastAsiaTheme="minorEastAsia" w:hAnsiTheme="minorHAnsi" w:cstheme="minorBidi"/>
              <w:noProof/>
              <w:lang w:bidi="ar-SA"/>
              <w14:ligatures w14:val="standardContextual"/>
            </w:rPr>
          </w:pPr>
          <w:hyperlink w:anchor="_Toc210846941" w:history="1">
            <w:r w:rsidRPr="00E402B5">
              <w:rPr>
                <w:rStyle w:val="Hyperlink"/>
                <w:noProof/>
              </w:rPr>
              <w:t>PLEASE RISK RECONCILE THE HEALTH AND ENVIRONMENTAL EFFECTS TAKING FULLY INTO ACCOUNT:</w:t>
            </w:r>
            <w:r>
              <w:rPr>
                <w:noProof/>
              </w:rPr>
              <w:tab/>
            </w:r>
            <w:r>
              <w:rPr>
                <w:noProof/>
              </w:rPr>
              <w:fldChar w:fldCharType="begin"/>
            </w:r>
            <w:r>
              <w:rPr>
                <w:noProof/>
              </w:rPr>
              <w:instrText xml:space="preserve"> PAGEREF _Toc210846941 \h </w:instrText>
            </w:r>
            <w:r>
              <w:rPr>
                <w:noProof/>
              </w:rPr>
            </w:r>
            <w:r>
              <w:rPr>
                <w:rFonts w:hint="eastAsia"/>
                <w:noProof/>
              </w:rPr>
              <w:fldChar w:fldCharType="separate"/>
            </w:r>
            <w:r>
              <w:rPr>
                <w:rFonts w:hint="eastAsia"/>
                <w:noProof/>
              </w:rPr>
              <w:t>3</w:t>
            </w:r>
            <w:r>
              <w:rPr>
                <w:noProof/>
              </w:rPr>
              <w:fldChar w:fldCharType="end"/>
            </w:r>
          </w:hyperlink>
        </w:p>
        <w:p w14:paraId="65843A21" w14:textId="18C6FA42" w:rsidR="00C56FEA" w:rsidRDefault="00C56FEA">
          <w:pPr>
            <w:pStyle w:val="TOC2"/>
            <w:rPr>
              <w:rFonts w:asciiTheme="minorHAnsi" w:eastAsiaTheme="minorEastAsia" w:hAnsiTheme="minorHAnsi" w:cstheme="minorBidi"/>
              <w:noProof/>
              <w:lang w:bidi="ar-SA"/>
              <w14:ligatures w14:val="standardContextual"/>
            </w:rPr>
          </w:pPr>
          <w:hyperlink w:anchor="_Toc210846942" w:history="1">
            <w:r w:rsidRPr="00E402B5">
              <w:rPr>
                <w:rStyle w:val="Hyperlink"/>
                <w:noProof/>
              </w:rPr>
              <w:t>In order to fulfill an adequate risk assessment, PLEASE ASK THE APPLICANT TO PROVIDE:</w:t>
            </w:r>
            <w:r>
              <w:rPr>
                <w:noProof/>
              </w:rPr>
              <w:tab/>
            </w:r>
            <w:r>
              <w:rPr>
                <w:noProof/>
              </w:rPr>
              <w:fldChar w:fldCharType="begin"/>
            </w:r>
            <w:r>
              <w:rPr>
                <w:noProof/>
              </w:rPr>
              <w:instrText xml:space="preserve"> PAGEREF _Toc210846942 \h </w:instrText>
            </w:r>
            <w:r>
              <w:rPr>
                <w:noProof/>
              </w:rPr>
            </w:r>
            <w:r>
              <w:rPr>
                <w:rFonts w:hint="eastAsia"/>
                <w:noProof/>
              </w:rPr>
              <w:fldChar w:fldCharType="separate"/>
            </w:r>
            <w:r>
              <w:rPr>
                <w:rFonts w:hint="eastAsia"/>
                <w:noProof/>
              </w:rPr>
              <w:t>4</w:t>
            </w:r>
            <w:r>
              <w:rPr>
                <w:noProof/>
              </w:rPr>
              <w:fldChar w:fldCharType="end"/>
            </w:r>
          </w:hyperlink>
        </w:p>
        <w:p w14:paraId="1CB6DF41" w14:textId="06DCC192" w:rsidR="00C56FEA" w:rsidRDefault="00C56FEA">
          <w:pPr>
            <w:pStyle w:val="TOC2"/>
            <w:rPr>
              <w:rFonts w:asciiTheme="minorHAnsi" w:eastAsiaTheme="minorEastAsia" w:hAnsiTheme="minorHAnsi" w:cstheme="minorBidi"/>
              <w:noProof/>
              <w:lang w:bidi="ar-SA"/>
              <w14:ligatures w14:val="standardContextual"/>
            </w:rPr>
          </w:pPr>
          <w:hyperlink w:anchor="_Toc210846943" w:history="1">
            <w:r w:rsidRPr="00E402B5">
              <w:rPr>
                <w:rStyle w:val="Hyperlink"/>
                <w:rFonts w:cs="Arial"/>
                <w:noProof/>
              </w:rPr>
              <w:t>PLEASE ALSO CONSIDER THIS CONTEXT:</w:t>
            </w:r>
            <w:r>
              <w:rPr>
                <w:noProof/>
              </w:rPr>
              <w:tab/>
            </w:r>
            <w:r>
              <w:rPr>
                <w:noProof/>
              </w:rPr>
              <w:fldChar w:fldCharType="begin"/>
            </w:r>
            <w:r>
              <w:rPr>
                <w:noProof/>
              </w:rPr>
              <w:instrText xml:space="preserve"> PAGEREF _Toc210846943 \h </w:instrText>
            </w:r>
            <w:r>
              <w:rPr>
                <w:noProof/>
              </w:rPr>
            </w:r>
            <w:r>
              <w:rPr>
                <w:rFonts w:hint="eastAsia"/>
                <w:noProof/>
              </w:rPr>
              <w:fldChar w:fldCharType="separate"/>
            </w:r>
            <w:r>
              <w:rPr>
                <w:rFonts w:hint="eastAsia"/>
                <w:noProof/>
              </w:rPr>
              <w:t>4</w:t>
            </w:r>
            <w:r>
              <w:rPr>
                <w:noProof/>
              </w:rPr>
              <w:fldChar w:fldCharType="end"/>
            </w:r>
          </w:hyperlink>
        </w:p>
        <w:p w14:paraId="2E9F7D3B" w14:textId="5D695385" w:rsidR="00C56FEA" w:rsidRDefault="00C56FEA">
          <w:pPr>
            <w:pStyle w:val="TOC2"/>
            <w:rPr>
              <w:rFonts w:asciiTheme="minorHAnsi" w:eastAsiaTheme="minorEastAsia" w:hAnsiTheme="minorHAnsi" w:cstheme="minorBidi"/>
              <w:noProof/>
              <w:lang w:bidi="ar-SA"/>
              <w14:ligatures w14:val="standardContextual"/>
            </w:rPr>
          </w:pPr>
          <w:hyperlink w:anchor="_Toc210846944" w:history="1">
            <w:r w:rsidRPr="00E402B5">
              <w:rPr>
                <w:rStyle w:val="Hyperlink"/>
                <w:rFonts w:cs="Arial"/>
                <w:noProof/>
              </w:rPr>
              <w:t>CONCLUSION</w:t>
            </w:r>
            <w:r>
              <w:rPr>
                <w:noProof/>
              </w:rPr>
              <w:tab/>
            </w:r>
            <w:r>
              <w:rPr>
                <w:noProof/>
              </w:rPr>
              <w:fldChar w:fldCharType="begin"/>
            </w:r>
            <w:r>
              <w:rPr>
                <w:noProof/>
              </w:rPr>
              <w:instrText xml:space="preserve"> PAGEREF _Toc210846944 \h </w:instrText>
            </w:r>
            <w:r>
              <w:rPr>
                <w:noProof/>
              </w:rPr>
            </w:r>
            <w:r>
              <w:rPr>
                <w:rFonts w:hint="eastAsia"/>
                <w:noProof/>
              </w:rPr>
              <w:fldChar w:fldCharType="separate"/>
            </w:r>
            <w:r>
              <w:rPr>
                <w:rFonts w:hint="eastAsia"/>
                <w:noProof/>
              </w:rPr>
              <w:t>4</w:t>
            </w:r>
            <w:r>
              <w:rPr>
                <w:noProof/>
              </w:rPr>
              <w:fldChar w:fldCharType="end"/>
            </w:r>
          </w:hyperlink>
        </w:p>
        <w:p w14:paraId="37941840" w14:textId="45EF1A1F" w:rsidR="00C56FEA" w:rsidRDefault="00C56FEA">
          <w:pPr>
            <w:pStyle w:val="TOC2"/>
            <w:rPr>
              <w:rFonts w:asciiTheme="minorHAnsi" w:eastAsiaTheme="minorEastAsia" w:hAnsiTheme="minorHAnsi" w:cstheme="minorBidi"/>
              <w:noProof/>
              <w:lang w:bidi="ar-SA"/>
              <w14:ligatures w14:val="standardContextual"/>
            </w:rPr>
          </w:pPr>
          <w:hyperlink w:anchor="_Toc210846945" w:history="1">
            <w:r w:rsidRPr="00E402B5">
              <w:rPr>
                <w:rStyle w:val="Hyperlink"/>
                <w:rFonts w:cs="Arial"/>
                <w:noProof/>
              </w:rPr>
              <w:t>APPENDIX</w:t>
            </w:r>
            <w:r>
              <w:rPr>
                <w:noProof/>
              </w:rPr>
              <w:tab/>
            </w:r>
            <w:r>
              <w:rPr>
                <w:noProof/>
              </w:rPr>
              <w:fldChar w:fldCharType="begin"/>
            </w:r>
            <w:r>
              <w:rPr>
                <w:noProof/>
              </w:rPr>
              <w:instrText xml:space="preserve"> PAGEREF _Toc210846945 \h </w:instrText>
            </w:r>
            <w:r>
              <w:rPr>
                <w:noProof/>
              </w:rPr>
            </w:r>
            <w:r>
              <w:rPr>
                <w:rFonts w:hint="eastAsia"/>
                <w:noProof/>
              </w:rPr>
              <w:fldChar w:fldCharType="separate"/>
            </w:r>
            <w:r>
              <w:rPr>
                <w:rFonts w:hint="eastAsia"/>
                <w:noProof/>
              </w:rPr>
              <w:t>5</w:t>
            </w:r>
            <w:r>
              <w:rPr>
                <w:noProof/>
              </w:rPr>
              <w:fldChar w:fldCharType="end"/>
            </w:r>
          </w:hyperlink>
        </w:p>
        <w:p w14:paraId="47732498" w14:textId="3838F178" w:rsidR="00C56FEA" w:rsidRDefault="00C56FEA">
          <w:pPr>
            <w:pStyle w:val="TOC2"/>
            <w:rPr>
              <w:rFonts w:asciiTheme="minorHAnsi" w:eastAsiaTheme="minorEastAsia" w:hAnsiTheme="minorHAnsi" w:cstheme="minorBidi"/>
              <w:noProof/>
              <w:lang w:bidi="ar-SA"/>
              <w14:ligatures w14:val="standardContextual"/>
            </w:rPr>
          </w:pPr>
          <w:hyperlink w:anchor="_Toc210846946" w:history="1">
            <w:r w:rsidRPr="00E402B5">
              <w:rPr>
                <w:rStyle w:val="Hyperlink"/>
                <w:noProof/>
              </w:rPr>
              <w:t>A1 LEGAL BACKGROUND</w:t>
            </w:r>
            <w:r>
              <w:rPr>
                <w:noProof/>
              </w:rPr>
              <w:tab/>
            </w:r>
            <w:r>
              <w:rPr>
                <w:noProof/>
              </w:rPr>
              <w:fldChar w:fldCharType="begin"/>
            </w:r>
            <w:r>
              <w:rPr>
                <w:noProof/>
              </w:rPr>
              <w:instrText xml:space="preserve"> PAGEREF _Toc210846946 \h </w:instrText>
            </w:r>
            <w:r>
              <w:rPr>
                <w:noProof/>
              </w:rPr>
            </w:r>
            <w:r>
              <w:rPr>
                <w:rFonts w:hint="eastAsia"/>
                <w:noProof/>
              </w:rPr>
              <w:fldChar w:fldCharType="separate"/>
            </w:r>
            <w:r>
              <w:rPr>
                <w:rFonts w:hint="eastAsia"/>
                <w:noProof/>
              </w:rPr>
              <w:t>5</w:t>
            </w:r>
            <w:r>
              <w:rPr>
                <w:noProof/>
              </w:rPr>
              <w:fldChar w:fldCharType="end"/>
            </w:r>
          </w:hyperlink>
        </w:p>
        <w:p w14:paraId="274FB0CA" w14:textId="79CDDF2E" w:rsidR="00C56FEA" w:rsidRDefault="00C56FEA">
          <w:pPr>
            <w:pStyle w:val="TOC3"/>
            <w:rPr>
              <w:rFonts w:asciiTheme="minorHAnsi" w:eastAsiaTheme="minorEastAsia" w:hAnsiTheme="minorHAnsi" w:cstheme="minorBidi"/>
              <w:noProof/>
              <w:lang w:bidi="ar-SA"/>
              <w14:ligatures w14:val="standardContextual"/>
            </w:rPr>
          </w:pPr>
          <w:hyperlink w:anchor="_Toc210846947" w:history="1">
            <w:r w:rsidRPr="00E402B5">
              <w:rPr>
                <w:rStyle w:val="Hyperlink"/>
                <w:noProof/>
              </w:rPr>
              <w:t>A1.1  GPDO</w:t>
            </w:r>
            <w:r>
              <w:rPr>
                <w:noProof/>
              </w:rPr>
              <w:tab/>
            </w:r>
            <w:r>
              <w:rPr>
                <w:noProof/>
              </w:rPr>
              <w:fldChar w:fldCharType="begin"/>
            </w:r>
            <w:r>
              <w:rPr>
                <w:noProof/>
              </w:rPr>
              <w:instrText xml:space="preserve"> PAGEREF _Toc210846947 \h </w:instrText>
            </w:r>
            <w:r>
              <w:rPr>
                <w:noProof/>
              </w:rPr>
            </w:r>
            <w:r>
              <w:rPr>
                <w:rFonts w:hint="eastAsia"/>
                <w:noProof/>
              </w:rPr>
              <w:fldChar w:fldCharType="separate"/>
            </w:r>
            <w:r>
              <w:rPr>
                <w:rFonts w:hint="eastAsia"/>
                <w:noProof/>
              </w:rPr>
              <w:t>5</w:t>
            </w:r>
            <w:r>
              <w:rPr>
                <w:noProof/>
              </w:rPr>
              <w:fldChar w:fldCharType="end"/>
            </w:r>
          </w:hyperlink>
        </w:p>
        <w:p w14:paraId="373DF97E" w14:textId="2B532684" w:rsidR="00C56FEA" w:rsidRDefault="00C56FEA">
          <w:pPr>
            <w:pStyle w:val="TOC3"/>
            <w:rPr>
              <w:rFonts w:asciiTheme="minorHAnsi" w:eastAsiaTheme="minorEastAsia" w:hAnsiTheme="minorHAnsi" w:cstheme="minorBidi"/>
              <w:noProof/>
              <w:lang w:bidi="ar-SA"/>
              <w14:ligatures w14:val="standardContextual"/>
            </w:rPr>
          </w:pPr>
          <w:hyperlink w:anchor="_Toc210846948" w:history="1">
            <w:r w:rsidRPr="00E402B5">
              <w:rPr>
                <w:rStyle w:val="Hyperlink"/>
                <w:noProof/>
              </w:rPr>
              <w:t>A1.2 PIPER - OBLIGATION TO WEIGH RISK FOR LABILITY PURPOSES</w:t>
            </w:r>
            <w:r>
              <w:rPr>
                <w:noProof/>
              </w:rPr>
              <w:tab/>
            </w:r>
            <w:r>
              <w:rPr>
                <w:noProof/>
              </w:rPr>
              <w:fldChar w:fldCharType="begin"/>
            </w:r>
            <w:r>
              <w:rPr>
                <w:noProof/>
              </w:rPr>
              <w:instrText xml:space="preserve"> PAGEREF _Toc210846948 \h </w:instrText>
            </w:r>
            <w:r>
              <w:rPr>
                <w:noProof/>
              </w:rPr>
            </w:r>
            <w:r>
              <w:rPr>
                <w:rFonts w:hint="eastAsia"/>
                <w:noProof/>
              </w:rPr>
              <w:fldChar w:fldCharType="separate"/>
            </w:r>
            <w:r>
              <w:rPr>
                <w:rFonts w:hint="eastAsia"/>
                <w:noProof/>
              </w:rPr>
              <w:t>5</w:t>
            </w:r>
            <w:r>
              <w:rPr>
                <w:noProof/>
              </w:rPr>
              <w:fldChar w:fldCharType="end"/>
            </w:r>
          </w:hyperlink>
        </w:p>
        <w:p w14:paraId="5F9934E2" w14:textId="6AE59B16" w:rsidR="00C56FEA" w:rsidRDefault="00C56FEA">
          <w:pPr>
            <w:pStyle w:val="TOC3"/>
            <w:rPr>
              <w:rFonts w:asciiTheme="minorHAnsi" w:eastAsiaTheme="minorEastAsia" w:hAnsiTheme="minorHAnsi" w:cstheme="minorBidi"/>
              <w:noProof/>
              <w:lang w:bidi="ar-SA"/>
              <w14:ligatures w14:val="standardContextual"/>
            </w:rPr>
          </w:pPr>
          <w:hyperlink w:anchor="_Toc210846949" w:history="1">
            <w:r w:rsidRPr="00E402B5">
              <w:rPr>
                <w:rStyle w:val="Hyperlink"/>
                <w:noProof/>
              </w:rPr>
              <w:t>A1.3 JUDICIAL REVIEW – EECC SUBMISSION</w:t>
            </w:r>
            <w:r>
              <w:rPr>
                <w:noProof/>
              </w:rPr>
              <w:tab/>
            </w:r>
            <w:r>
              <w:rPr>
                <w:noProof/>
              </w:rPr>
              <w:fldChar w:fldCharType="begin"/>
            </w:r>
            <w:r>
              <w:rPr>
                <w:noProof/>
              </w:rPr>
              <w:instrText xml:space="preserve"> PAGEREF _Toc210846949 \h </w:instrText>
            </w:r>
            <w:r>
              <w:rPr>
                <w:noProof/>
              </w:rPr>
            </w:r>
            <w:r>
              <w:rPr>
                <w:rFonts w:hint="eastAsia"/>
                <w:noProof/>
              </w:rPr>
              <w:fldChar w:fldCharType="separate"/>
            </w:r>
            <w:r>
              <w:rPr>
                <w:rFonts w:hint="eastAsia"/>
                <w:noProof/>
              </w:rPr>
              <w:t>5</w:t>
            </w:r>
            <w:r>
              <w:rPr>
                <w:noProof/>
              </w:rPr>
              <w:fldChar w:fldCharType="end"/>
            </w:r>
          </w:hyperlink>
        </w:p>
        <w:p w14:paraId="138EA157" w14:textId="089A200B" w:rsidR="00C56FEA" w:rsidRDefault="00C56FEA">
          <w:pPr>
            <w:pStyle w:val="TOC3"/>
            <w:rPr>
              <w:rFonts w:asciiTheme="minorHAnsi" w:eastAsiaTheme="minorEastAsia" w:hAnsiTheme="minorHAnsi" w:cstheme="minorBidi"/>
              <w:noProof/>
              <w:lang w:bidi="ar-SA"/>
              <w14:ligatures w14:val="standardContextual"/>
            </w:rPr>
          </w:pPr>
          <w:hyperlink w:anchor="_Toc210846950" w:history="1">
            <w:r w:rsidRPr="00E402B5">
              <w:rPr>
                <w:rStyle w:val="Hyperlink"/>
                <w:rFonts w:cs="Arial"/>
                <w:noProof/>
              </w:rPr>
              <w:t>A1.4  THE NATURAL ENVIRONMENT AND RURAL COMMUNITIES ACT 2006 (NERC ACT)</w:t>
            </w:r>
            <w:r>
              <w:rPr>
                <w:noProof/>
              </w:rPr>
              <w:tab/>
            </w:r>
            <w:r>
              <w:rPr>
                <w:noProof/>
              </w:rPr>
              <w:fldChar w:fldCharType="begin"/>
            </w:r>
            <w:r>
              <w:rPr>
                <w:noProof/>
              </w:rPr>
              <w:instrText xml:space="preserve"> PAGEREF _Toc210846950 \h </w:instrText>
            </w:r>
            <w:r>
              <w:rPr>
                <w:noProof/>
              </w:rPr>
            </w:r>
            <w:r>
              <w:rPr>
                <w:rFonts w:hint="eastAsia"/>
                <w:noProof/>
              </w:rPr>
              <w:fldChar w:fldCharType="separate"/>
            </w:r>
            <w:r>
              <w:rPr>
                <w:rFonts w:hint="eastAsia"/>
                <w:noProof/>
              </w:rPr>
              <w:t>6</w:t>
            </w:r>
            <w:r>
              <w:rPr>
                <w:noProof/>
              </w:rPr>
              <w:fldChar w:fldCharType="end"/>
            </w:r>
          </w:hyperlink>
        </w:p>
        <w:p w14:paraId="61D034E9" w14:textId="67D6D480" w:rsidR="00C56FEA" w:rsidRDefault="00C56FEA">
          <w:pPr>
            <w:pStyle w:val="TOC3"/>
            <w:rPr>
              <w:rFonts w:asciiTheme="minorHAnsi" w:eastAsiaTheme="minorEastAsia" w:hAnsiTheme="minorHAnsi" w:cstheme="minorBidi"/>
              <w:noProof/>
              <w:lang w:bidi="ar-SA"/>
              <w14:ligatures w14:val="standardContextual"/>
            </w:rPr>
          </w:pPr>
          <w:hyperlink w:anchor="_Toc210846951" w:history="1">
            <w:r w:rsidRPr="00E402B5">
              <w:rPr>
                <w:rStyle w:val="Hyperlink"/>
                <w:rFonts w:cs="Arial"/>
                <w:noProof/>
              </w:rPr>
              <w:t>A1.5  PITTSFIELD – IMMEDIATE 5G HARMS = CEASE &amp; DESIST ORDER SERVED</w:t>
            </w:r>
            <w:r>
              <w:rPr>
                <w:noProof/>
              </w:rPr>
              <w:tab/>
            </w:r>
            <w:r>
              <w:rPr>
                <w:noProof/>
              </w:rPr>
              <w:fldChar w:fldCharType="begin"/>
            </w:r>
            <w:r>
              <w:rPr>
                <w:noProof/>
              </w:rPr>
              <w:instrText xml:space="preserve"> PAGEREF _Toc210846951 \h </w:instrText>
            </w:r>
            <w:r>
              <w:rPr>
                <w:noProof/>
              </w:rPr>
            </w:r>
            <w:r>
              <w:rPr>
                <w:rFonts w:hint="eastAsia"/>
                <w:noProof/>
              </w:rPr>
              <w:fldChar w:fldCharType="separate"/>
            </w:r>
            <w:r>
              <w:rPr>
                <w:rFonts w:hint="eastAsia"/>
                <w:noProof/>
              </w:rPr>
              <w:t>6</w:t>
            </w:r>
            <w:r>
              <w:rPr>
                <w:noProof/>
              </w:rPr>
              <w:fldChar w:fldCharType="end"/>
            </w:r>
          </w:hyperlink>
        </w:p>
        <w:p w14:paraId="0B8AB23A" w14:textId="5254EA29" w:rsidR="00C56FEA" w:rsidRDefault="00C56FEA">
          <w:pPr>
            <w:pStyle w:val="TOC2"/>
            <w:rPr>
              <w:rFonts w:asciiTheme="minorHAnsi" w:eastAsiaTheme="minorEastAsia" w:hAnsiTheme="minorHAnsi" w:cstheme="minorBidi"/>
              <w:noProof/>
              <w:lang w:bidi="ar-SA"/>
              <w14:ligatures w14:val="standardContextual"/>
            </w:rPr>
          </w:pPr>
          <w:hyperlink w:anchor="_Toc210846952" w:history="1">
            <w:r w:rsidRPr="00E402B5">
              <w:rPr>
                <w:rStyle w:val="Hyperlink"/>
                <w:rFonts w:cs="Arial"/>
                <w:noProof/>
              </w:rPr>
              <w:t>A2 HEALTH &amp; ENVIRONMENT EVIDENCE</w:t>
            </w:r>
            <w:r>
              <w:rPr>
                <w:noProof/>
              </w:rPr>
              <w:tab/>
            </w:r>
            <w:r>
              <w:rPr>
                <w:noProof/>
              </w:rPr>
              <w:fldChar w:fldCharType="begin"/>
            </w:r>
            <w:r>
              <w:rPr>
                <w:noProof/>
              </w:rPr>
              <w:instrText xml:space="preserve"> PAGEREF _Toc210846952 \h </w:instrText>
            </w:r>
            <w:r>
              <w:rPr>
                <w:noProof/>
              </w:rPr>
            </w:r>
            <w:r>
              <w:rPr>
                <w:rFonts w:hint="eastAsia"/>
                <w:noProof/>
              </w:rPr>
              <w:fldChar w:fldCharType="separate"/>
            </w:r>
            <w:r>
              <w:rPr>
                <w:rFonts w:hint="eastAsia"/>
                <w:noProof/>
              </w:rPr>
              <w:t>6</w:t>
            </w:r>
            <w:r>
              <w:rPr>
                <w:noProof/>
              </w:rPr>
              <w:fldChar w:fldCharType="end"/>
            </w:r>
          </w:hyperlink>
        </w:p>
        <w:p w14:paraId="62E41DE8" w14:textId="65927947" w:rsidR="00C56FEA" w:rsidRDefault="00C56FEA">
          <w:pPr>
            <w:pStyle w:val="TOC3"/>
            <w:rPr>
              <w:rFonts w:asciiTheme="minorHAnsi" w:eastAsiaTheme="minorEastAsia" w:hAnsiTheme="minorHAnsi" w:cstheme="minorBidi"/>
              <w:noProof/>
              <w:lang w:bidi="ar-SA"/>
              <w14:ligatures w14:val="standardContextual"/>
            </w:rPr>
          </w:pPr>
          <w:hyperlink w:anchor="_Toc210846953" w:history="1">
            <w:r w:rsidRPr="00E402B5">
              <w:rPr>
                <w:rStyle w:val="Hyperlink"/>
                <w:rFonts w:cs="Arial"/>
                <w:noProof/>
              </w:rPr>
              <w:t xml:space="preserve">A2.1  </w:t>
            </w:r>
            <w:r w:rsidRPr="00E402B5">
              <w:rPr>
                <w:rStyle w:val="Hyperlink"/>
                <w:rFonts w:cs="Arial"/>
                <w:noProof/>
                <w:lang/>
              </w:rPr>
              <w:t>500M SETBACK</w:t>
            </w:r>
            <w:r>
              <w:rPr>
                <w:noProof/>
              </w:rPr>
              <w:tab/>
            </w:r>
            <w:r>
              <w:rPr>
                <w:noProof/>
              </w:rPr>
              <w:fldChar w:fldCharType="begin"/>
            </w:r>
            <w:r>
              <w:rPr>
                <w:noProof/>
              </w:rPr>
              <w:instrText xml:space="preserve"> PAGEREF _Toc210846953 \h </w:instrText>
            </w:r>
            <w:r>
              <w:rPr>
                <w:noProof/>
              </w:rPr>
            </w:r>
            <w:r>
              <w:rPr>
                <w:rFonts w:hint="eastAsia"/>
                <w:noProof/>
              </w:rPr>
              <w:fldChar w:fldCharType="separate"/>
            </w:r>
            <w:r>
              <w:rPr>
                <w:rFonts w:hint="eastAsia"/>
                <w:noProof/>
              </w:rPr>
              <w:t>6</w:t>
            </w:r>
            <w:r>
              <w:rPr>
                <w:noProof/>
              </w:rPr>
              <w:fldChar w:fldCharType="end"/>
            </w:r>
          </w:hyperlink>
        </w:p>
        <w:p w14:paraId="645C2804" w14:textId="779B9305" w:rsidR="00C56FEA" w:rsidRDefault="00C56FEA">
          <w:pPr>
            <w:pStyle w:val="TOC3"/>
            <w:rPr>
              <w:rFonts w:asciiTheme="minorHAnsi" w:eastAsiaTheme="minorEastAsia" w:hAnsiTheme="minorHAnsi" w:cstheme="minorBidi"/>
              <w:noProof/>
              <w:lang w:bidi="ar-SA"/>
              <w14:ligatures w14:val="standardContextual"/>
            </w:rPr>
          </w:pPr>
          <w:hyperlink w:anchor="_Toc210846954" w:history="1">
            <w:r w:rsidRPr="00E402B5">
              <w:rPr>
                <w:rStyle w:val="Hyperlink"/>
                <w:rFonts w:cs="Arial"/>
                <w:noProof/>
              </w:rPr>
              <w:t>A2.2 LOPEZ ET AL</w:t>
            </w:r>
            <w:r>
              <w:rPr>
                <w:noProof/>
              </w:rPr>
              <w:tab/>
            </w:r>
            <w:r>
              <w:rPr>
                <w:noProof/>
              </w:rPr>
              <w:fldChar w:fldCharType="begin"/>
            </w:r>
            <w:r>
              <w:rPr>
                <w:noProof/>
              </w:rPr>
              <w:instrText xml:space="preserve"> PAGEREF _Toc210846954 \h </w:instrText>
            </w:r>
            <w:r>
              <w:rPr>
                <w:noProof/>
              </w:rPr>
            </w:r>
            <w:r>
              <w:rPr>
                <w:rFonts w:hint="eastAsia"/>
                <w:noProof/>
              </w:rPr>
              <w:fldChar w:fldCharType="separate"/>
            </w:r>
            <w:r>
              <w:rPr>
                <w:rFonts w:hint="eastAsia"/>
                <w:noProof/>
              </w:rPr>
              <w:t>6</w:t>
            </w:r>
            <w:r>
              <w:rPr>
                <w:noProof/>
              </w:rPr>
              <w:fldChar w:fldCharType="end"/>
            </w:r>
          </w:hyperlink>
        </w:p>
        <w:p w14:paraId="3E782062" w14:textId="07ABBA70" w:rsidR="00C56FEA" w:rsidRDefault="00C56FEA">
          <w:pPr>
            <w:pStyle w:val="TOC3"/>
            <w:rPr>
              <w:rFonts w:asciiTheme="minorHAnsi" w:eastAsiaTheme="minorEastAsia" w:hAnsiTheme="minorHAnsi" w:cstheme="minorBidi"/>
              <w:noProof/>
              <w:lang w:bidi="ar-SA"/>
              <w14:ligatures w14:val="standardContextual"/>
            </w:rPr>
          </w:pPr>
          <w:hyperlink w:anchor="_Toc210846955" w:history="1">
            <w:r w:rsidRPr="00E402B5">
              <w:rPr>
                <w:rStyle w:val="Hyperlink"/>
                <w:noProof/>
              </w:rPr>
              <w:t>A2.3 JD PEARCE RECOMMENDS TELECOMS OBSERVE 500m SETBACK TO LIMIT LIABILITY</w:t>
            </w:r>
            <w:r>
              <w:rPr>
                <w:noProof/>
              </w:rPr>
              <w:tab/>
            </w:r>
            <w:r>
              <w:rPr>
                <w:noProof/>
              </w:rPr>
              <w:fldChar w:fldCharType="begin"/>
            </w:r>
            <w:r>
              <w:rPr>
                <w:noProof/>
              </w:rPr>
              <w:instrText xml:space="preserve"> PAGEREF _Toc210846955 \h </w:instrText>
            </w:r>
            <w:r>
              <w:rPr>
                <w:noProof/>
              </w:rPr>
            </w:r>
            <w:r>
              <w:rPr>
                <w:rFonts w:hint="eastAsia"/>
                <w:noProof/>
              </w:rPr>
              <w:fldChar w:fldCharType="separate"/>
            </w:r>
            <w:r>
              <w:rPr>
                <w:rFonts w:hint="eastAsia"/>
                <w:noProof/>
              </w:rPr>
              <w:t>6</w:t>
            </w:r>
            <w:r>
              <w:rPr>
                <w:noProof/>
              </w:rPr>
              <w:fldChar w:fldCharType="end"/>
            </w:r>
          </w:hyperlink>
        </w:p>
        <w:p w14:paraId="217F1DE7" w14:textId="4E026103" w:rsidR="00C56FEA" w:rsidRDefault="00C56FEA">
          <w:pPr>
            <w:pStyle w:val="TOC3"/>
            <w:rPr>
              <w:rFonts w:asciiTheme="minorHAnsi" w:eastAsiaTheme="minorEastAsia" w:hAnsiTheme="minorHAnsi" w:cstheme="minorBidi"/>
              <w:noProof/>
              <w:lang w:bidi="ar-SA"/>
              <w14:ligatures w14:val="standardContextual"/>
            </w:rPr>
          </w:pPr>
          <w:hyperlink w:anchor="_Toc210846956" w:history="1">
            <w:r w:rsidRPr="00E402B5">
              <w:rPr>
                <w:rStyle w:val="Hyperlink"/>
                <w:rFonts w:cs="Arial"/>
                <w:noProof/>
              </w:rPr>
              <w:t>A2.4 MOBILE PHONE MAST HEALTH EFFECTS: J. Moskovic March 2021</w:t>
            </w:r>
            <w:r>
              <w:rPr>
                <w:noProof/>
              </w:rPr>
              <w:tab/>
            </w:r>
            <w:r>
              <w:rPr>
                <w:noProof/>
              </w:rPr>
              <w:fldChar w:fldCharType="begin"/>
            </w:r>
            <w:r>
              <w:rPr>
                <w:noProof/>
              </w:rPr>
              <w:instrText xml:space="preserve"> PAGEREF _Toc210846956 \h </w:instrText>
            </w:r>
            <w:r>
              <w:rPr>
                <w:noProof/>
              </w:rPr>
            </w:r>
            <w:r>
              <w:rPr>
                <w:rFonts w:hint="eastAsia"/>
                <w:noProof/>
              </w:rPr>
              <w:fldChar w:fldCharType="separate"/>
            </w:r>
            <w:r>
              <w:rPr>
                <w:rFonts w:hint="eastAsia"/>
                <w:noProof/>
              </w:rPr>
              <w:t>7</w:t>
            </w:r>
            <w:r>
              <w:rPr>
                <w:noProof/>
              </w:rPr>
              <w:fldChar w:fldCharType="end"/>
            </w:r>
          </w:hyperlink>
        </w:p>
        <w:p w14:paraId="24AAF9A4" w14:textId="12129360" w:rsidR="00C56FEA" w:rsidRDefault="00C56FEA">
          <w:pPr>
            <w:pStyle w:val="TOC3"/>
            <w:rPr>
              <w:rFonts w:asciiTheme="minorHAnsi" w:eastAsiaTheme="minorEastAsia" w:hAnsiTheme="minorHAnsi" w:cstheme="minorBidi"/>
              <w:noProof/>
              <w:lang w:bidi="ar-SA"/>
              <w14:ligatures w14:val="standardContextual"/>
            </w:rPr>
          </w:pPr>
          <w:hyperlink w:anchor="_Toc210846957" w:history="1">
            <w:r w:rsidRPr="00E402B5">
              <w:rPr>
                <w:rStyle w:val="Hyperlink"/>
                <w:noProof/>
              </w:rPr>
              <w:t>A2.5 THE FIRST SIX STUDIES OF ‘IN SITU’</w:t>
            </w:r>
            <w:r>
              <w:rPr>
                <w:noProof/>
              </w:rPr>
              <w:tab/>
            </w:r>
            <w:r>
              <w:rPr>
                <w:noProof/>
              </w:rPr>
              <w:fldChar w:fldCharType="begin"/>
            </w:r>
            <w:r>
              <w:rPr>
                <w:noProof/>
              </w:rPr>
              <w:instrText xml:space="preserve"> PAGEREF _Toc210846957 \h </w:instrText>
            </w:r>
            <w:r>
              <w:rPr>
                <w:noProof/>
              </w:rPr>
            </w:r>
            <w:r>
              <w:rPr>
                <w:rFonts w:hint="eastAsia"/>
                <w:noProof/>
              </w:rPr>
              <w:fldChar w:fldCharType="separate"/>
            </w:r>
            <w:r>
              <w:rPr>
                <w:rFonts w:hint="eastAsia"/>
                <w:noProof/>
              </w:rPr>
              <w:t>7</w:t>
            </w:r>
            <w:r>
              <w:rPr>
                <w:noProof/>
              </w:rPr>
              <w:fldChar w:fldCharType="end"/>
            </w:r>
          </w:hyperlink>
        </w:p>
        <w:p w14:paraId="4E37D06F" w14:textId="40859CB0" w:rsidR="00C56FEA" w:rsidRDefault="00C56FEA">
          <w:pPr>
            <w:pStyle w:val="TOC3"/>
            <w:rPr>
              <w:rFonts w:asciiTheme="minorHAnsi" w:eastAsiaTheme="minorEastAsia" w:hAnsiTheme="minorHAnsi" w:cstheme="minorBidi"/>
              <w:noProof/>
              <w:lang w:bidi="ar-SA"/>
              <w14:ligatures w14:val="standardContextual"/>
            </w:rPr>
          </w:pPr>
          <w:hyperlink w:anchor="_Toc210846958" w:history="1">
            <w:r w:rsidRPr="00E402B5">
              <w:rPr>
                <w:rStyle w:val="Hyperlink"/>
                <w:rFonts w:cs="Arial"/>
                <w:noProof/>
                <w:lang/>
              </w:rPr>
              <w:t xml:space="preserve">A2.6) </w:t>
            </w:r>
            <w:r w:rsidRPr="00E402B5">
              <w:rPr>
                <w:rStyle w:val="Hyperlink"/>
                <w:rFonts w:cs="Arial"/>
                <w:noProof/>
              </w:rPr>
              <w:t>2020 NIR CONSENSUS STATEMENT</w:t>
            </w:r>
            <w:r w:rsidRPr="00E402B5">
              <w:rPr>
                <w:rStyle w:val="Hyperlink"/>
                <w:rFonts w:cs="Arial"/>
                <w:noProof/>
                <w:lang/>
              </w:rPr>
              <w:t>:</w:t>
            </w:r>
            <w:r w:rsidRPr="00E402B5">
              <w:rPr>
                <w:rStyle w:val="Hyperlink"/>
                <w:rFonts w:cs="Arial"/>
                <w:noProof/>
                <w:lang w:val="en-US"/>
              </w:rPr>
              <w:t xml:space="preserve"> </w:t>
            </w:r>
            <w:r w:rsidRPr="00E402B5">
              <w:rPr>
                <w:rStyle w:val="Hyperlink"/>
                <w:rFonts w:cs="Arial"/>
                <w:noProof/>
              </w:rPr>
              <w:t>UK INITIATIVE, HEALTH EFFECTS FROM RFR – SIGNED BY OVER 3500 MEDICAL AND SCIENTIFIC EXPERTS.</w:t>
            </w:r>
            <w:r>
              <w:rPr>
                <w:noProof/>
              </w:rPr>
              <w:tab/>
            </w:r>
            <w:r>
              <w:rPr>
                <w:noProof/>
              </w:rPr>
              <w:fldChar w:fldCharType="begin"/>
            </w:r>
            <w:r>
              <w:rPr>
                <w:noProof/>
              </w:rPr>
              <w:instrText xml:space="preserve"> PAGEREF _Toc210846958 \h </w:instrText>
            </w:r>
            <w:r>
              <w:rPr>
                <w:noProof/>
              </w:rPr>
            </w:r>
            <w:r>
              <w:rPr>
                <w:rFonts w:hint="eastAsia"/>
                <w:noProof/>
              </w:rPr>
              <w:fldChar w:fldCharType="separate"/>
            </w:r>
            <w:r>
              <w:rPr>
                <w:rFonts w:hint="eastAsia"/>
                <w:noProof/>
              </w:rPr>
              <w:t>7</w:t>
            </w:r>
            <w:r>
              <w:rPr>
                <w:noProof/>
              </w:rPr>
              <w:fldChar w:fldCharType="end"/>
            </w:r>
          </w:hyperlink>
        </w:p>
        <w:p w14:paraId="4E441395" w14:textId="0FD9FE49" w:rsidR="00C56FEA" w:rsidRDefault="00C56FEA">
          <w:pPr>
            <w:pStyle w:val="TOC3"/>
            <w:rPr>
              <w:rFonts w:asciiTheme="minorHAnsi" w:eastAsiaTheme="minorEastAsia" w:hAnsiTheme="minorHAnsi" w:cstheme="minorBidi"/>
              <w:noProof/>
              <w:lang w:bidi="ar-SA"/>
              <w14:ligatures w14:val="standardContextual"/>
            </w:rPr>
          </w:pPr>
          <w:hyperlink w:anchor="_Toc210846959" w:history="1">
            <w:r w:rsidRPr="00E402B5">
              <w:rPr>
                <w:rStyle w:val="Hyperlink"/>
                <w:noProof/>
              </w:rPr>
              <w:t>A2.7 SCIENTIFIC SUBMISSION TOM BUTLER</w:t>
            </w:r>
            <w:r>
              <w:rPr>
                <w:noProof/>
              </w:rPr>
              <w:tab/>
            </w:r>
            <w:r>
              <w:rPr>
                <w:noProof/>
              </w:rPr>
              <w:fldChar w:fldCharType="begin"/>
            </w:r>
            <w:r>
              <w:rPr>
                <w:noProof/>
              </w:rPr>
              <w:instrText xml:space="preserve"> PAGEREF _Toc210846959 \h </w:instrText>
            </w:r>
            <w:r>
              <w:rPr>
                <w:noProof/>
              </w:rPr>
            </w:r>
            <w:r>
              <w:rPr>
                <w:rFonts w:hint="eastAsia"/>
                <w:noProof/>
              </w:rPr>
              <w:fldChar w:fldCharType="separate"/>
            </w:r>
            <w:r>
              <w:rPr>
                <w:rFonts w:hint="eastAsia"/>
                <w:noProof/>
              </w:rPr>
              <w:t>7</w:t>
            </w:r>
            <w:r>
              <w:rPr>
                <w:noProof/>
              </w:rPr>
              <w:fldChar w:fldCharType="end"/>
            </w:r>
          </w:hyperlink>
        </w:p>
        <w:p w14:paraId="24B00C21" w14:textId="695055E6" w:rsidR="00C56FEA" w:rsidRDefault="00C56FEA">
          <w:pPr>
            <w:pStyle w:val="TOC3"/>
            <w:rPr>
              <w:rFonts w:asciiTheme="minorHAnsi" w:eastAsiaTheme="minorEastAsia" w:hAnsiTheme="minorHAnsi" w:cstheme="minorBidi"/>
              <w:noProof/>
              <w:lang w:bidi="ar-SA"/>
              <w14:ligatures w14:val="standardContextual"/>
            </w:rPr>
          </w:pPr>
          <w:hyperlink w:anchor="_Toc210846960" w:history="1">
            <w:r w:rsidRPr="00E402B5">
              <w:rPr>
                <w:rStyle w:val="Hyperlink"/>
                <w:noProof/>
              </w:rPr>
              <w:t>A2.8 US SUPREME COURT RULING FCCvEHT</w:t>
            </w:r>
            <w:r>
              <w:rPr>
                <w:noProof/>
              </w:rPr>
              <w:tab/>
            </w:r>
            <w:r>
              <w:rPr>
                <w:noProof/>
              </w:rPr>
              <w:fldChar w:fldCharType="begin"/>
            </w:r>
            <w:r>
              <w:rPr>
                <w:noProof/>
              </w:rPr>
              <w:instrText xml:space="preserve"> PAGEREF _Toc210846960 \h </w:instrText>
            </w:r>
            <w:r>
              <w:rPr>
                <w:noProof/>
              </w:rPr>
            </w:r>
            <w:r>
              <w:rPr>
                <w:rFonts w:hint="eastAsia"/>
                <w:noProof/>
              </w:rPr>
              <w:fldChar w:fldCharType="separate"/>
            </w:r>
            <w:r>
              <w:rPr>
                <w:rFonts w:hint="eastAsia"/>
                <w:noProof/>
              </w:rPr>
              <w:t>7</w:t>
            </w:r>
            <w:r>
              <w:rPr>
                <w:noProof/>
              </w:rPr>
              <w:fldChar w:fldCharType="end"/>
            </w:r>
          </w:hyperlink>
        </w:p>
        <w:p w14:paraId="10CE0F07" w14:textId="34165A32" w:rsidR="00C56FEA" w:rsidRDefault="00C56FEA">
          <w:pPr>
            <w:pStyle w:val="TOC3"/>
            <w:rPr>
              <w:rFonts w:asciiTheme="minorHAnsi" w:eastAsiaTheme="minorEastAsia" w:hAnsiTheme="minorHAnsi" w:cstheme="minorBidi"/>
              <w:noProof/>
              <w:lang w:bidi="ar-SA"/>
              <w14:ligatures w14:val="standardContextual"/>
            </w:rPr>
          </w:pPr>
          <w:hyperlink w:anchor="_Toc210846961" w:history="1">
            <w:r w:rsidRPr="00E402B5">
              <w:rPr>
                <w:rStyle w:val="Hyperlink"/>
                <w:rFonts w:cs="Arial"/>
                <w:noProof/>
                <w:shd w:val="clear" w:color="auto" w:fill="FFFFFF"/>
              </w:rPr>
              <w:t xml:space="preserve">A2.9 </w:t>
            </w:r>
            <w:r w:rsidRPr="00E402B5">
              <w:rPr>
                <w:rStyle w:val="Hyperlink"/>
                <w:rFonts w:cs="Arial"/>
                <w:noProof/>
              </w:rPr>
              <w:t>CHILDREN ARE MORE VULNERABLE TO MICROWAVE RADIATION</w:t>
            </w:r>
            <w:r>
              <w:rPr>
                <w:noProof/>
              </w:rPr>
              <w:tab/>
            </w:r>
            <w:r>
              <w:rPr>
                <w:noProof/>
              </w:rPr>
              <w:fldChar w:fldCharType="begin"/>
            </w:r>
            <w:r>
              <w:rPr>
                <w:noProof/>
              </w:rPr>
              <w:instrText xml:space="preserve"> PAGEREF _Toc210846961 \h </w:instrText>
            </w:r>
            <w:r>
              <w:rPr>
                <w:noProof/>
              </w:rPr>
            </w:r>
            <w:r>
              <w:rPr>
                <w:rFonts w:hint="eastAsia"/>
                <w:noProof/>
              </w:rPr>
              <w:fldChar w:fldCharType="separate"/>
            </w:r>
            <w:r>
              <w:rPr>
                <w:rFonts w:hint="eastAsia"/>
                <w:noProof/>
              </w:rPr>
              <w:t>8</w:t>
            </w:r>
            <w:r>
              <w:rPr>
                <w:noProof/>
              </w:rPr>
              <w:fldChar w:fldCharType="end"/>
            </w:r>
          </w:hyperlink>
        </w:p>
        <w:p w14:paraId="4C234C7E" w14:textId="11C56A7A" w:rsidR="00C56FEA" w:rsidRDefault="00C56FEA">
          <w:pPr>
            <w:pStyle w:val="TOC3"/>
            <w:rPr>
              <w:rFonts w:asciiTheme="minorHAnsi" w:eastAsiaTheme="minorEastAsia" w:hAnsiTheme="minorHAnsi" w:cstheme="minorBidi"/>
              <w:noProof/>
              <w:lang w:bidi="ar-SA"/>
              <w14:ligatures w14:val="standardContextual"/>
            </w:rPr>
          </w:pPr>
          <w:hyperlink w:anchor="_Toc210846962" w:history="1">
            <w:r w:rsidRPr="00E402B5">
              <w:rPr>
                <w:rStyle w:val="Hyperlink"/>
                <w:rFonts w:cs="Arial"/>
                <w:noProof/>
              </w:rPr>
              <w:t>A2.10  PROFESSOR FRANK, UNIVERSITY OF EDINBURGH</w:t>
            </w:r>
            <w:r>
              <w:rPr>
                <w:noProof/>
              </w:rPr>
              <w:tab/>
            </w:r>
            <w:r>
              <w:rPr>
                <w:noProof/>
              </w:rPr>
              <w:fldChar w:fldCharType="begin"/>
            </w:r>
            <w:r>
              <w:rPr>
                <w:noProof/>
              </w:rPr>
              <w:instrText xml:space="preserve"> PAGEREF _Toc210846962 \h </w:instrText>
            </w:r>
            <w:r>
              <w:rPr>
                <w:noProof/>
              </w:rPr>
            </w:r>
            <w:r>
              <w:rPr>
                <w:rFonts w:hint="eastAsia"/>
                <w:noProof/>
              </w:rPr>
              <w:fldChar w:fldCharType="separate"/>
            </w:r>
            <w:r>
              <w:rPr>
                <w:rFonts w:hint="eastAsia"/>
                <w:noProof/>
              </w:rPr>
              <w:t>8</w:t>
            </w:r>
            <w:r>
              <w:rPr>
                <w:noProof/>
              </w:rPr>
              <w:fldChar w:fldCharType="end"/>
            </w:r>
          </w:hyperlink>
        </w:p>
        <w:p w14:paraId="013A6C86" w14:textId="1E3EA65C" w:rsidR="00C56FEA" w:rsidRDefault="00C56FEA">
          <w:pPr>
            <w:pStyle w:val="TOC3"/>
            <w:rPr>
              <w:rFonts w:asciiTheme="minorHAnsi" w:eastAsiaTheme="minorEastAsia" w:hAnsiTheme="minorHAnsi" w:cstheme="minorBidi"/>
              <w:noProof/>
              <w:lang w:bidi="ar-SA"/>
              <w14:ligatures w14:val="standardContextual"/>
            </w:rPr>
          </w:pPr>
          <w:hyperlink w:anchor="_Toc210846963" w:history="1">
            <w:r w:rsidRPr="00E402B5">
              <w:rPr>
                <w:rStyle w:val="Hyperlink"/>
                <w:rFonts w:cs="Arial"/>
                <w:noProof/>
              </w:rPr>
              <w:t>A2.11  BUGS MATTER SURVEY</w:t>
            </w:r>
            <w:r>
              <w:rPr>
                <w:noProof/>
              </w:rPr>
              <w:tab/>
            </w:r>
            <w:r>
              <w:rPr>
                <w:noProof/>
              </w:rPr>
              <w:fldChar w:fldCharType="begin"/>
            </w:r>
            <w:r>
              <w:rPr>
                <w:noProof/>
              </w:rPr>
              <w:instrText xml:space="preserve"> PAGEREF _Toc210846963 \h </w:instrText>
            </w:r>
            <w:r>
              <w:rPr>
                <w:noProof/>
              </w:rPr>
            </w:r>
            <w:r>
              <w:rPr>
                <w:rFonts w:hint="eastAsia"/>
                <w:noProof/>
              </w:rPr>
              <w:fldChar w:fldCharType="separate"/>
            </w:r>
            <w:r>
              <w:rPr>
                <w:rFonts w:hint="eastAsia"/>
                <w:noProof/>
              </w:rPr>
              <w:t>8</w:t>
            </w:r>
            <w:r>
              <w:rPr>
                <w:noProof/>
              </w:rPr>
              <w:fldChar w:fldCharType="end"/>
            </w:r>
          </w:hyperlink>
        </w:p>
        <w:p w14:paraId="3961EFA0" w14:textId="43EE214B" w:rsidR="00C56FEA" w:rsidRDefault="00C56FEA">
          <w:pPr>
            <w:pStyle w:val="TOC3"/>
            <w:rPr>
              <w:rFonts w:asciiTheme="minorHAnsi" w:eastAsiaTheme="minorEastAsia" w:hAnsiTheme="minorHAnsi" w:cstheme="minorBidi"/>
              <w:noProof/>
              <w:lang w:bidi="ar-SA"/>
              <w14:ligatures w14:val="standardContextual"/>
            </w:rPr>
          </w:pPr>
          <w:hyperlink w:anchor="_Toc210846964" w:history="1">
            <w:r w:rsidRPr="00E402B5">
              <w:rPr>
                <w:rStyle w:val="Hyperlink"/>
                <w:rFonts w:cs="Arial"/>
                <w:noProof/>
              </w:rPr>
              <w:t>A2.12  OFCOM 5G SURVEYS ARE EXPERIMENTAL</w:t>
            </w:r>
            <w:r>
              <w:rPr>
                <w:noProof/>
              </w:rPr>
              <w:tab/>
            </w:r>
            <w:r>
              <w:rPr>
                <w:noProof/>
              </w:rPr>
              <w:fldChar w:fldCharType="begin"/>
            </w:r>
            <w:r>
              <w:rPr>
                <w:noProof/>
              </w:rPr>
              <w:instrText xml:space="preserve"> PAGEREF _Toc210846964 \h </w:instrText>
            </w:r>
            <w:r>
              <w:rPr>
                <w:noProof/>
              </w:rPr>
            </w:r>
            <w:r>
              <w:rPr>
                <w:rFonts w:hint="eastAsia"/>
                <w:noProof/>
              </w:rPr>
              <w:fldChar w:fldCharType="separate"/>
            </w:r>
            <w:r>
              <w:rPr>
                <w:rFonts w:hint="eastAsia"/>
                <w:noProof/>
              </w:rPr>
              <w:t>8</w:t>
            </w:r>
            <w:r>
              <w:rPr>
                <w:noProof/>
              </w:rPr>
              <w:fldChar w:fldCharType="end"/>
            </w:r>
          </w:hyperlink>
        </w:p>
        <w:p w14:paraId="7D32A7A3" w14:textId="1913023C" w:rsidR="00C56FEA" w:rsidRDefault="00C56FEA">
          <w:pPr>
            <w:pStyle w:val="TOC3"/>
            <w:rPr>
              <w:rFonts w:asciiTheme="minorHAnsi" w:eastAsiaTheme="minorEastAsia" w:hAnsiTheme="minorHAnsi" w:cstheme="minorBidi"/>
              <w:noProof/>
              <w:lang w:bidi="ar-SA"/>
              <w14:ligatures w14:val="standardContextual"/>
            </w:rPr>
          </w:pPr>
          <w:hyperlink w:anchor="_Toc210846965" w:history="1">
            <w:r w:rsidRPr="00E402B5">
              <w:rPr>
                <w:rStyle w:val="Hyperlink"/>
                <w:rFonts w:cs="Arial"/>
                <w:noProof/>
              </w:rPr>
              <w:t>A2.13  EHS RECOGNITION</w:t>
            </w:r>
            <w:r>
              <w:rPr>
                <w:noProof/>
              </w:rPr>
              <w:tab/>
            </w:r>
            <w:r>
              <w:rPr>
                <w:noProof/>
              </w:rPr>
              <w:fldChar w:fldCharType="begin"/>
            </w:r>
            <w:r>
              <w:rPr>
                <w:noProof/>
              </w:rPr>
              <w:instrText xml:space="preserve"> PAGEREF _Toc210846965 \h </w:instrText>
            </w:r>
            <w:r>
              <w:rPr>
                <w:noProof/>
              </w:rPr>
            </w:r>
            <w:r>
              <w:rPr>
                <w:rFonts w:hint="eastAsia"/>
                <w:noProof/>
              </w:rPr>
              <w:fldChar w:fldCharType="separate"/>
            </w:r>
            <w:r>
              <w:rPr>
                <w:rFonts w:hint="eastAsia"/>
                <w:noProof/>
              </w:rPr>
              <w:t>8</w:t>
            </w:r>
            <w:r>
              <w:rPr>
                <w:noProof/>
              </w:rPr>
              <w:fldChar w:fldCharType="end"/>
            </w:r>
          </w:hyperlink>
        </w:p>
        <w:p w14:paraId="1B560DB4" w14:textId="0BF1EA46" w:rsidR="00C56FEA" w:rsidRDefault="00C56FEA">
          <w:pPr>
            <w:pStyle w:val="TOC3"/>
            <w:rPr>
              <w:rFonts w:asciiTheme="minorHAnsi" w:eastAsiaTheme="minorEastAsia" w:hAnsiTheme="minorHAnsi" w:cstheme="minorBidi"/>
              <w:noProof/>
              <w:lang w:bidi="ar-SA"/>
              <w14:ligatures w14:val="standardContextual"/>
            </w:rPr>
          </w:pPr>
          <w:hyperlink w:anchor="_Toc210846966" w:history="1">
            <w:r w:rsidRPr="00E402B5">
              <w:rPr>
                <w:rStyle w:val="Hyperlink"/>
                <w:rFonts w:cs="Arial"/>
                <w:noProof/>
              </w:rPr>
              <w:t>A2.14 ICBE-EMF ICNIRP’s FALSE ASSUMPTIONS</w:t>
            </w:r>
            <w:r>
              <w:rPr>
                <w:noProof/>
              </w:rPr>
              <w:tab/>
            </w:r>
            <w:r>
              <w:rPr>
                <w:noProof/>
              </w:rPr>
              <w:fldChar w:fldCharType="begin"/>
            </w:r>
            <w:r>
              <w:rPr>
                <w:noProof/>
              </w:rPr>
              <w:instrText xml:space="preserve"> PAGEREF _Toc210846966 \h </w:instrText>
            </w:r>
            <w:r>
              <w:rPr>
                <w:noProof/>
              </w:rPr>
            </w:r>
            <w:r>
              <w:rPr>
                <w:rFonts w:hint="eastAsia"/>
                <w:noProof/>
              </w:rPr>
              <w:fldChar w:fldCharType="separate"/>
            </w:r>
            <w:r>
              <w:rPr>
                <w:rFonts w:hint="eastAsia"/>
                <w:noProof/>
              </w:rPr>
              <w:t>9</w:t>
            </w:r>
            <w:r>
              <w:rPr>
                <w:noProof/>
              </w:rPr>
              <w:fldChar w:fldCharType="end"/>
            </w:r>
          </w:hyperlink>
        </w:p>
        <w:p w14:paraId="0F9F434D" w14:textId="4F588509" w:rsidR="00A37EC2" w:rsidRDefault="00000000">
          <w:pPr>
            <w:pStyle w:val="TOC3"/>
            <w:tabs>
              <w:tab w:val="clear" w:pos="9638"/>
              <w:tab w:val="right" w:leader="dot" w:pos="10772"/>
            </w:tabs>
            <w:rPr>
              <w:rFonts w:hint="eastAsia"/>
            </w:rPr>
          </w:pPr>
          <w:r>
            <w:rPr>
              <w:rStyle w:val="IndexLink"/>
            </w:rPr>
            <w:fldChar w:fldCharType="end"/>
          </w:r>
        </w:p>
      </w:sdtContent>
    </w:sdt>
    <w:p w14:paraId="6BE5AC33" w14:textId="51820C6E" w:rsidR="00A37EC2" w:rsidRPr="00C56FEA" w:rsidRDefault="00000000">
      <w:pPr>
        <w:pStyle w:val="Heading2"/>
        <w:rPr>
          <w:rFonts w:hint="eastAsia"/>
          <w:color w:val="FF0000"/>
        </w:rPr>
      </w:pPr>
      <w:bookmarkStart w:id="1" w:name="_Toc210846937"/>
      <w:r w:rsidRPr="00C56FEA">
        <w:rPr>
          <w:rFonts w:cs="Arial"/>
          <w:color w:val="000000"/>
        </w:rPr>
        <w:t xml:space="preserve">OBJECTION – </w:t>
      </w:r>
      <w:r w:rsidR="00C56FEA" w:rsidRPr="00C56FEA">
        <w:rPr>
          <w:rFonts w:cs="Arial"/>
          <w:color w:val="FF0000"/>
        </w:rPr>
        <w:t xml:space="preserve">Planning </w:t>
      </w:r>
      <w:r w:rsidR="00C56FEA">
        <w:rPr>
          <w:rFonts w:cs="Arial"/>
          <w:color w:val="FF0000"/>
        </w:rPr>
        <w:t xml:space="preserve">App </w:t>
      </w:r>
      <w:r w:rsidR="00C56FEA" w:rsidRPr="00C56FEA">
        <w:rPr>
          <w:rFonts w:cs="Arial"/>
          <w:color w:val="FF0000"/>
        </w:rPr>
        <w:t>Ref No</w:t>
      </w:r>
      <w:r w:rsidR="00C56FEA">
        <w:rPr>
          <w:rFonts w:cs="Arial"/>
          <w:color w:val="FF0000"/>
        </w:rPr>
        <w:t>.</w:t>
      </w:r>
      <w:bookmarkEnd w:id="1"/>
    </w:p>
    <w:p w14:paraId="2DCCB122" w14:textId="77777777" w:rsidR="00C56FEA" w:rsidRDefault="00C56FEA">
      <w:pPr>
        <w:spacing w:before="100" w:after="100"/>
        <w:rPr>
          <w:rFonts w:cs="Arial"/>
          <w:color w:val="FF0000"/>
        </w:rPr>
      </w:pPr>
      <w:r w:rsidRPr="00C56FEA">
        <w:rPr>
          <w:rFonts w:cs="Arial"/>
          <w:color w:val="FF0000"/>
        </w:rPr>
        <w:t>(change all text in red)</w:t>
      </w:r>
      <w:r w:rsidRPr="00C56FEA">
        <w:rPr>
          <w:rFonts w:cs="Arial"/>
          <w:color w:val="FF0000"/>
        </w:rPr>
        <w:tab/>
        <w:t xml:space="preserve">   </w:t>
      </w:r>
    </w:p>
    <w:p w14:paraId="650C0873" w14:textId="6AE6BF3E" w:rsidR="00A37EC2" w:rsidRPr="00C56FEA" w:rsidRDefault="00000000">
      <w:pPr>
        <w:spacing w:before="100" w:after="100"/>
        <w:rPr>
          <w:rFonts w:hint="eastAsia"/>
          <w:color w:val="FF0000"/>
        </w:rPr>
      </w:pPr>
      <w:r w:rsidRPr="00C56FEA">
        <w:rPr>
          <w:rFonts w:cs="Arial"/>
          <w:b/>
          <w:bCs/>
          <w:color w:val="FF0000"/>
          <w:sz w:val="22"/>
          <w:szCs w:val="22"/>
        </w:rPr>
        <w:t xml:space="preserve">Prior approval for the installation of a new 25m-high telecommunications lattice tower supporting 2no. headframes to accommodate antennas and transmission dishes; </w:t>
      </w:r>
      <w:proofErr w:type="gramStart"/>
      <w:r w:rsidRPr="00C56FEA">
        <w:rPr>
          <w:rFonts w:cs="Arial"/>
          <w:b/>
          <w:bCs/>
          <w:color w:val="FF0000"/>
          <w:sz w:val="22"/>
          <w:szCs w:val="22"/>
        </w:rPr>
        <w:t>plus</w:t>
      </w:r>
      <w:proofErr w:type="gramEnd"/>
      <w:r w:rsidRPr="00C56FEA">
        <w:rPr>
          <w:rFonts w:cs="Arial"/>
          <w:b/>
          <w:bCs/>
          <w:color w:val="FF0000"/>
          <w:sz w:val="22"/>
          <w:szCs w:val="22"/>
        </w:rPr>
        <w:t xml:space="preserve"> ground-based equipment cabinets within a secure fenced compound and ancillary development thereto.</w:t>
      </w:r>
    </w:p>
    <w:p w14:paraId="19AD2196" w14:textId="77777777" w:rsidR="00A37EC2" w:rsidRDefault="00A37EC2">
      <w:pPr>
        <w:rPr>
          <w:rFonts w:cs="Arial" w:hint="eastAsia"/>
          <w:color w:val="000000"/>
          <w:sz w:val="22"/>
          <w:szCs w:val="22"/>
        </w:rPr>
      </w:pPr>
    </w:p>
    <w:p w14:paraId="21EE29FF" w14:textId="37D237A8" w:rsidR="00A37EC2" w:rsidRDefault="00000000">
      <w:pPr>
        <w:pStyle w:val="NormalWeb"/>
        <w:shd w:val="clear" w:color="auto" w:fill="FFFFFF"/>
        <w:rPr>
          <w:rFonts w:hint="eastAsia"/>
          <w:color w:val="000000"/>
        </w:rPr>
      </w:pPr>
      <w:r>
        <w:rPr>
          <w:rFonts w:cs="Arial"/>
          <w:color w:val="000000"/>
          <w:sz w:val="22"/>
          <w:szCs w:val="22"/>
        </w:rPr>
        <w:t xml:space="preserve">Dear </w:t>
      </w:r>
      <w:r w:rsidR="00C56FEA">
        <w:rPr>
          <w:rFonts w:cs="Arial"/>
          <w:color w:val="000000"/>
          <w:sz w:val="22"/>
          <w:szCs w:val="22"/>
        </w:rPr>
        <w:t>Case Officer,</w:t>
      </w:r>
    </w:p>
    <w:p w14:paraId="48CDDF72" w14:textId="16ADECBE" w:rsidR="00A37EC2" w:rsidRDefault="00000000">
      <w:pPr>
        <w:rPr>
          <w:rFonts w:hint="eastAsia"/>
          <w:color w:val="000000"/>
        </w:rPr>
      </w:pPr>
      <w:r>
        <w:rPr>
          <w:rFonts w:cs="Arial"/>
          <w:color w:val="000000"/>
          <w:sz w:val="22"/>
          <w:szCs w:val="22"/>
          <w:shd w:val="clear" w:color="auto" w:fill="FFFFFF"/>
          <w:lang w:bidi="ar-SA"/>
        </w:rPr>
        <w:t>I object to this application for the following reasons:</w:t>
      </w:r>
    </w:p>
    <w:p w14:paraId="1D020104" w14:textId="77777777" w:rsidR="00A37EC2" w:rsidRDefault="00000000">
      <w:pPr>
        <w:pStyle w:val="Heading2"/>
        <w:rPr>
          <w:rFonts w:hint="eastAsia"/>
          <w:color w:val="000000"/>
        </w:rPr>
      </w:pPr>
      <w:bookmarkStart w:id="2" w:name="_Toc210846938"/>
      <w:r>
        <w:rPr>
          <w:color w:val="000000"/>
          <w:sz w:val="24"/>
          <w:szCs w:val="24"/>
        </w:rPr>
        <w:t>LOCATION</w:t>
      </w:r>
      <w:bookmarkEnd w:id="2"/>
    </w:p>
    <w:p w14:paraId="70EDBFCE" w14:textId="77777777" w:rsidR="00A37EC2" w:rsidRPr="00C56FEA" w:rsidRDefault="00000000">
      <w:pPr>
        <w:pStyle w:val="NoSpacing"/>
        <w:numPr>
          <w:ilvl w:val="0"/>
          <w:numId w:val="2"/>
        </w:numPr>
        <w:spacing w:line="276" w:lineRule="auto"/>
        <w:rPr>
          <w:rFonts w:cs="Arial" w:hint="eastAsia"/>
          <w:color w:val="FF0000"/>
          <w:kern w:val="2"/>
          <w:sz w:val="22"/>
          <w:szCs w:val="22"/>
        </w:rPr>
      </w:pPr>
      <w:r w:rsidRPr="00C56FEA">
        <w:rPr>
          <w:rFonts w:cs="Arial"/>
          <w:color w:val="FF0000"/>
          <w:kern w:val="2"/>
          <w:sz w:val="22"/>
          <w:szCs w:val="22"/>
        </w:rPr>
        <w:t xml:space="preserve">It will have a damaging visual impact on surrounding area. The immediate area is not picturesque but because of its 25 </w:t>
      </w:r>
      <w:proofErr w:type="spellStart"/>
      <w:r w:rsidRPr="00C56FEA">
        <w:rPr>
          <w:rFonts w:cs="Arial"/>
          <w:color w:val="FF0000"/>
          <w:kern w:val="2"/>
          <w:sz w:val="22"/>
          <w:szCs w:val="22"/>
        </w:rPr>
        <w:t>mtr</w:t>
      </w:r>
      <w:proofErr w:type="spellEnd"/>
      <w:r w:rsidRPr="00C56FEA">
        <w:rPr>
          <w:rFonts w:cs="Arial"/>
          <w:color w:val="FF0000"/>
          <w:kern w:val="2"/>
          <w:sz w:val="22"/>
          <w:szCs w:val="22"/>
        </w:rPr>
        <w:t xml:space="preserve"> height, it would dominate a pretty, green landscape, with historical features for miles.  The location appears to be a working farm with a scrap yard across the road.  It would detract from the </w:t>
      </w:r>
      <w:r w:rsidRPr="00C56FEA">
        <w:rPr>
          <w:rFonts w:cs="Arial"/>
          <w:color w:val="FF0000"/>
          <w:kern w:val="2"/>
          <w:sz w:val="22"/>
          <w:szCs w:val="22"/>
        </w:rPr>
        <w:lastRenderedPageBreak/>
        <w:t xml:space="preserve">outlook of Listed Buildings, </w:t>
      </w:r>
      <w:proofErr w:type="spellStart"/>
      <w:r w:rsidRPr="00C56FEA">
        <w:rPr>
          <w:rFonts w:cs="Arial"/>
          <w:color w:val="FF0000"/>
          <w:kern w:val="2"/>
          <w:sz w:val="22"/>
          <w:szCs w:val="22"/>
        </w:rPr>
        <w:t>Upshire</w:t>
      </w:r>
      <w:proofErr w:type="spellEnd"/>
      <w:r w:rsidRPr="00C56FEA">
        <w:rPr>
          <w:rFonts w:cs="Arial"/>
          <w:color w:val="FF0000"/>
          <w:kern w:val="2"/>
          <w:sz w:val="22"/>
          <w:szCs w:val="22"/>
        </w:rPr>
        <w:t xml:space="preserve"> Hall (Grade 2,) </w:t>
      </w:r>
      <w:proofErr w:type="spellStart"/>
      <w:r w:rsidRPr="00C56FEA">
        <w:rPr>
          <w:rFonts w:cs="Arial"/>
          <w:color w:val="FF0000"/>
          <w:kern w:val="2"/>
          <w:sz w:val="22"/>
          <w:szCs w:val="22"/>
        </w:rPr>
        <w:t>approx</w:t>
      </w:r>
      <w:proofErr w:type="spellEnd"/>
      <w:r w:rsidRPr="00C56FEA">
        <w:rPr>
          <w:rFonts w:cs="Arial"/>
          <w:color w:val="FF0000"/>
          <w:kern w:val="2"/>
          <w:sz w:val="22"/>
          <w:szCs w:val="22"/>
        </w:rPr>
        <w:t xml:space="preserve"> 130m away, Southend Farm (Grade 2) approx. 190m away.</w:t>
      </w:r>
    </w:p>
    <w:p w14:paraId="6BE43B5E" w14:textId="77777777" w:rsidR="00A37EC2" w:rsidRPr="00C56FEA" w:rsidRDefault="00000000">
      <w:pPr>
        <w:pStyle w:val="NoSpacing"/>
        <w:numPr>
          <w:ilvl w:val="0"/>
          <w:numId w:val="2"/>
        </w:numPr>
        <w:spacing w:line="276" w:lineRule="auto"/>
        <w:rPr>
          <w:rFonts w:cs="Arial" w:hint="eastAsia"/>
          <w:color w:val="FF0000"/>
          <w:kern w:val="2"/>
          <w:sz w:val="22"/>
          <w:szCs w:val="22"/>
        </w:rPr>
      </w:pPr>
      <w:r w:rsidRPr="00C56FEA">
        <w:rPr>
          <w:rFonts w:cs="Arial"/>
          <w:color w:val="FF0000"/>
          <w:kern w:val="2"/>
          <w:sz w:val="22"/>
          <w:szCs w:val="22"/>
        </w:rPr>
        <w:t xml:space="preserve">Nearby there are 2 animal rescue interests, boarding kennels and catteries, horse yards and paddocks </w:t>
      </w:r>
      <w:proofErr w:type="gramStart"/>
      <w:r w:rsidRPr="00C56FEA">
        <w:rPr>
          <w:rFonts w:cs="Arial"/>
          <w:color w:val="FF0000"/>
          <w:kern w:val="2"/>
          <w:sz w:val="22"/>
          <w:szCs w:val="22"/>
        </w:rPr>
        <w:t>and  some</w:t>
      </w:r>
      <w:proofErr w:type="gramEnd"/>
      <w:r w:rsidRPr="00C56FEA">
        <w:rPr>
          <w:rFonts w:cs="Arial"/>
          <w:color w:val="FF0000"/>
          <w:kern w:val="2"/>
          <w:sz w:val="22"/>
          <w:szCs w:val="22"/>
        </w:rPr>
        <w:t xml:space="preserve"> commercial operations, a recording studio, a coffee shop, and fishing lakes. NOTE: ICNIRP does not cover animals –please see further comments about risk reconciliation of harmful effects to animals.</w:t>
      </w:r>
    </w:p>
    <w:p w14:paraId="2DC676F7" w14:textId="77777777" w:rsidR="00A37EC2" w:rsidRDefault="00000000">
      <w:pPr>
        <w:numPr>
          <w:ilvl w:val="0"/>
          <w:numId w:val="2"/>
        </w:numPr>
        <w:rPr>
          <w:rFonts w:cs="Arial" w:hint="eastAsia"/>
          <w:color w:val="000000"/>
          <w:sz w:val="22"/>
          <w:szCs w:val="22"/>
        </w:rPr>
      </w:pPr>
      <w:r>
        <w:rPr>
          <w:rFonts w:cs="Arial"/>
          <w:color w:val="000000"/>
          <w:sz w:val="22"/>
          <w:szCs w:val="22"/>
        </w:rPr>
        <w:t>No exclusion zones are defined, please supply.</w:t>
      </w:r>
    </w:p>
    <w:p w14:paraId="31CEB846" w14:textId="77777777" w:rsidR="00A37EC2" w:rsidRDefault="00A37EC2">
      <w:pPr>
        <w:rPr>
          <w:rFonts w:cs="Arial" w:hint="eastAsia"/>
          <w:color w:val="FF0000"/>
          <w:sz w:val="22"/>
          <w:szCs w:val="22"/>
        </w:rPr>
      </w:pPr>
    </w:p>
    <w:p w14:paraId="62802766" w14:textId="77777777" w:rsidR="00A37EC2" w:rsidRDefault="00000000">
      <w:pPr>
        <w:pStyle w:val="Heading2"/>
        <w:numPr>
          <w:ilvl w:val="0"/>
          <w:numId w:val="0"/>
        </w:numPr>
        <w:rPr>
          <w:rFonts w:hint="eastAsia"/>
          <w:color w:val="2A6099"/>
          <w:sz w:val="24"/>
          <w:szCs w:val="24"/>
        </w:rPr>
      </w:pPr>
      <w:bookmarkStart w:id="3" w:name="_Toc210846939"/>
      <w:r>
        <w:rPr>
          <w:color w:val="2A6099"/>
          <w:sz w:val="24"/>
          <w:szCs w:val="24"/>
        </w:rPr>
        <w:t>APPEARANCE</w:t>
      </w:r>
      <w:bookmarkEnd w:id="3"/>
    </w:p>
    <w:p w14:paraId="69746951" w14:textId="08AEE6ED" w:rsidR="00A37EC2" w:rsidRPr="00C56FEA" w:rsidRDefault="00000000">
      <w:pPr>
        <w:numPr>
          <w:ilvl w:val="0"/>
          <w:numId w:val="3"/>
        </w:numPr>
        <w:rPr>
          <w:rFonts w:hint="eastAsia"/>
          <w:color w:val="FF0000"/>
          <w:sz w:val="22"/>
          <w:szCs w:val="22"/>
        </w:rPr>
      </w:pPr>
      <w:r w:rsidRPr="00C56FEA">
        <w:rPr>
          <w:rFonts w:cs="Arial"/>
          <w:color w:val="FF0000"/>
          <w:sz w:val="22"/>
          <w:szCs w:val="22"/>
        </w:rPr>
        <w:t xml:space="preserve">This 25m height and the </w:t>
      </w:r>
      <w:r w:rsidR="00C56FEA" w:rsidRPr="00C56FEA">
        <w:rPr>
          <w:rFonts w:cs="Arial"/>
          <w:color w:val="FF0000"/>
          <w:sz w:val="22"/>
          <w:szCs w:val="22"/>
        </w:rPr>
        <w:t>considerable</w:t>
      </w:r>
      <w:r w:rsidRPr="00C56FEA">
        <w:rPr>
          <w:rFonts w:cs="Arial"/>
          <w:color w:val="FF0000"/>
          <w:sz w:val="22"/>
          <w:szCs w:val="22"/>
        </w:rPr>
        <w:t xml:space="preserve"> bulk of this 5G apparatus in this location is overbearing, obtrusive and </w:t>
      </w:r>
      <w:proofErr w:type="gramStart"/>
      <w:r w:rsidRPr="00C56FEA">
        <w:rPr>
          <w:rFonts w:cs="Arial"/>
          <w:color w:val="FF0000"/>
          <w:sz w:val="22"/>
          <w:szCs w:val="22"/>
        </w:rPr>
        <w:t>unsightly,  and</w:t>
      </w:r>
      <w:proofErr w:type="gramEnd"/>
      <w:r w:rsidRPr="00C56FEA">
        <w:rPr>
          <w:rFonts w:cs="Arial"/>
          <w:color w:val="FF0000"/>
          <w:sz w:val="22"/>
          <w:szCs w:val="22"/>
        </w:rPr>
        <w:t xml:space="preserve"> is unfitting in this location. It could cause anxiety and harm to the amenity of the area.</w:t>
      </w:r>
    </w:p>
    <w:p w14:paraId="31F92C88" w14:textId="77777777" w:rsidR="00A37EC2" w:rsidRPr="00C56FEA" w:rsidRDefault="00000000">
      <w:pPr>
        <w:pStyle w:val="NoSpacing"/>
        <w:numPr>
          <w:ilvl w:val="0"/>
          <w:numId w:val="3"/>
        </w:numPr>
        <w:spacing w:line="276" w:lineRule="auto"/>
        <w:rPr>
          <w:rFonts w:cs="Arial" w:hint="eastAsia"/>
          <w:color w:val="FF0000"/>
          <w:kern w:val="2"/>
          <w:sz w:val="22"/>
          <w:szCs w:val="22"/>
        </w:rPr>
      </w:pPr>
      <w:r w:rsidRPr="00C56FEA">
        <w:rPr>
          <w:rFonts w:cs="Arial"/>
          <w:color w:val="FF0000"/>
          <w:kern w:val="2"/>
          <w:sz w:val="22"/>
          <w:szCs w:val="22"/>
        </w:rPr>
        <w:t xml:space="preserve">The base proposed screening cannot hide the majority of the 25 </w:t>
      </w:r>
      <w:proofErr w:type="spellStart"/>
      <w:r w:rsidRPr="00C56FEA">
        <w:rPr>
          <w:rFonts w:cs="Arial"/>
          <w:color w:val="FF0000"/>
          <w:kern w:val="2"/>
          <w:sz w:val="22"/>
          <w:szCs w:val="22"/>
        </w:rPr>
        <w:t>mtrs</w:t>
      </w:r>
      <w:proofErr w:type="spellEnd"/>
      <w:r w:rsidRPr="00C56FEA">
        <w:rPr>
          <w:rFonts w:cs="Arial"/>
          <w:color w:val="FF0000"/>
          <w:kern w:val="2"/>
          <w:sz w:val="22"/>
          <w:szCs w:val="22"/>
        </w:rPr>
        <w:t>, so is redundant.</w:t>
      </w:r>
    </w:p>
    <w:p w14:paraId="3F2E2AA8" w14:textId="77777777" w:rsidR="00A37EC2" w:rsidRDefault="00000000">
      <w:pPr>
        <w:pStyle w:val="Heading2"/>
        <w:rPr>
          <w:rFonts w:hint="eastAsia"/>
          <w:color w:val="2A6099"/>
          <w:sz w:val="24"/>
          <w:szCs w:val="24"/>
        </w:rPr>
      </w:pPr>
      <w:bookmarkStart w:id="4" w:name="_Toc210846940"/>
      <w:r>
        <w:rPr>
          <w:color w:val="2A6099"/>
          <w:sz w:val="24"/>
          <w:szCs w:val="24"/>
        </w:rPr>
        <w:t>JUSTIFICATION</w:t>
      </w:r>
      <w:bookmarkEnd w:id="4"/>
    </w:p>
    <w:p w14:paraId="69275348" w14:textId="41257D48" w:rsidR="00A37EC2" w:rsidRDefault="00000000">
      <w:pPr>
        <w:numPr>
          <w:ilvl w:val="0"/>
          <w:numId w:val="3"/>
        </w:numPr>
        <w:shd w:val="clear" w:color="auto" w:fill="FFFFFF"/>
        <w:spacing w:line="233" w:lineRule="atLeast"/>
        <w:rPr>
          <w:rFonts w:cs="Arial" w:hint="eastAsia"/>
          <w:color w:val="000000"/>
          <w:sz w:val="22"/>
          <w:szCs w:val="22"/>
        </w:rPr>
      </w:pPr>
      <w:r w:rsidRPr="00C56FEA">
        <w:rPr>
          <w:rFonts w:cs="Arial"/>
          <w:color w:val="FF0000"/>
          <w:sz w:val="22"/>
          <w:szCs w:val="22"/>
        </w:rPr>
        <w:t xml:space="preserve">Icon Tower Infrastructure Ltd </w:t>
      </w:r>
      <w:r>
        <w:rPr>
          <w:rFonts w:cs="Arial"/>
          <w:color w:val="000000"/>
          <w:sz w:val="22"/>
          <w:szCs w:val="22"/>
        </w:rPr>
        <w:t xml:space="preserve">provide the infrastructure system of masts for sharing/ leasing to mobile technology operators such as </w:t>
      </w:r>
      <w:r w:rsidRPr="00C56FEA">
        <w:rPr>
          <w:rFonts w:cs="Arial"/>
          <w:color w:val="FF0000"/>
          <w:sz w:val="22"/>
          <w:szCs w:val="22"/>
        </w:rPr>
        <w:t xml:space="preserve">EE, 3, Vodafone &amp; O2.  Icon Tower </w:t>
      </w:r>
      <w:r>
        <w:rPr>
          <w:rFonts w:cs="Arial"/>
          <w:color w:val="000000"/>
          <w:sz w:val="22"/>
          <w:szCs w:val="22"/>
        </w:rPr>
        <w:t xml:space="preserve">speculate the need for a new installation which is not evidenced.  I contend that the benefits of this installation are not outweighed by the damage to the visual amenity. </w:t>
      </w:r>
      <w:r w:rsidRPr="00C56FEA">
        <w:rPr>
          <w:rFonts w:cs="Arial"/>
          <w:color w:val="FF0000"/>
          <w:sz w:val="22"/>
          <w:szCs w:val="22"/>
        </w:rPr>
        <w:t xml:space="preserve">Icon Tower </w:t>
      </w:r>
      <w:r>
        <w:rPr>
          <w:rFonts w:cs="Arial"/>
          <w:color w:val="000000"/>
          <w:sz w:val="22"/>
          <w:szCs w:val="22"/>
        </w:rPr>
        <w:t xml:space="preserve">have not provided evidence that other masts will be </w:t>
      </w:r>
      <w:r w:rsidR="00C56FEA">
        <w:rPr>
          <w:rFonts w:cs="Arial"/>
          <w:color w:val="000000"/>
          <w:sz w:val="22"/>
          <w:szCs w:val="22"/>
        </w:rPr>
        <w:t>decommissione</w:t>
      </w:r>
      <w:r w:rsidR="00C56FEA">
        <w:rPr>
          <w:rFonts w:cs="Arial" w:hint="eastAsia"/>
          <w:color w:val="000000"/>
          <w:sz w:val="22"/>
          <w:szCs w:val="22"/>
        </w:rPr>
        <w:t>d</w:t>
      </w:r>
      <w:r>
        <w:rPr>
          <w:rFonts w:cs="Arial"/>
          <w:color w:val="000000"/>
          <w:sz w:val="22"/>
          <w:szCs w:val="22"/>
        </w:rPr>
        <w:t xml:space="preserve"> should this proposal proceed. </w:t>
      </w:r>
    </w:p>
    <w:p w14:paraId="24B2F2B6" w14:textId="4C28FE70" w:rsidR="00A37EC2" w:rsidRDefault="00000000">
      <w:pPr>
        <w:ind w:left="720"/>
        <w:rPr>
          <w:rFonts w:hint="eastAsia"/>
        </w:rPr>
      </w:pPr>
      <w:r>
        <w:rPr>
          <w:rFonts w:cs="Arial"/>
          <w:color w:val="000000"/>
          <w:sz w:val="22"/>
          <w:szCs w:val="22"/>
        </w:rPr>
        <w:t>In conclusion, the applicant has not sufficiently demonstrated the need for this installation (NPPF 119 (115)).</w:t>
      </w:r>
    </w:p>
    <w:p w14:paraId="0015E5C5" w14:textId="77777777" w:rsidR="00A37EC2" w:rsidRDefault="00A37EC2">
      <w:pPr>
        <w:ind w:left="720"/>
        <w:rPr>
          <w:rFonts w:cs="Arial" w:hint="eastAsia"/>
          <w:color w:val="000000"/>
          <w:sz w:val="22"/>
          <w:szCs w:val="22"/>
        </w:rPr>
      </w:pPr>
    </w:p>
    <w:p w14:paraId="631C6C23" w14:textId="77777777" w:rsidR="00A37EC2" w:rsidRDefault="00000000">
      <w:pPr>
        <w:ind w:left="720"/>
        <w:rPr>
          <w:rFonts w:hint="eastAsia"/>
          <w:b/>
          <w:bCs/>
          <w:color w:val="000000"/>
        </w:rPr>
      </w:pPr>
      <w:r>
        <w:rPr>
          <w:rFonts w:cs="Arial"/>
          <w:b/>
          <w:bCs/>
          <w:color w:val="000000"/>
          <w:sz w:val="22"/>
          <w:szCs w:val="22"/>
        </w:rPr>
        <w:t xml:space="preserve">I further object as the </w:t>
      </w:r>
      <w:proofErr w:type="spellStart"/>
      <w:r>
        <w:rPr>
          <w:rFonts w:cs="Arial"/>
          <w:b/>
          <w:bCs/>
          <w:color w:val="000000"/>
          <w:sz w:val="22"/>
          <w:szCs w:val="22"/>
        </w:rPr>
        <w:t>THE</w:t>
      </w:r>
      <w:proofErr w:type="spellEnd"/>
      <w:r>
        <w:rPr>
          <w:rFonts w:cs="Arial"/>
          <w:b/>
          <w:bCs/>
          <w:color w:val="000000"/>
          <w:sz w:val="22"/>
          <w:szCs w:val="22"/>
        </w:rPr>
        <w:t xml:space="preserve"> DECLARATION Of COMPLIANCE WITH ICNIRP IS NOT SIGNED.</w:t>
      </w:r>
    </w:p>
    <w:p w14:paraId="546D760C" w14:textId="77777777" w:rsidR="00A37EC2" w:rsidRDefault="00A37EC2">
      <w:pPr>
        <w:pStyle w:val="Heading2"/>
        <w:rPr>
          <w:rFonts w:hint="eastAsia"/>
          <w:color w:val="2A6099"/>
          <w:sz w:val="24"/>
          <w:szCs w:val="24"/>
        </w:rPr>
      </w:pPr>
    </w:p>
    <w:p w14:paraId="06569117" w14:textId="3D98B17F" w:rsidR="00A37EC2" w:rsidRDefault="00000000">
      <w:pPr>
        <w:rPr>
          <w:rFonts w:hint="eastAsia"/>
          <w:sz w:val="22"/>
          <w:szCs w:val="22"/>
        </w:rPr>
      </w:pPr>
      <w:r>
        <w:rPr>
          <w:rFonts w:cs="Arial"/>
          <w:color w:val="000000"/>
          <w:sz w:val="22"/>
          <w:szCs w:val="22"/>
        </w:rPr>
        <w:t>I am advised that</w:t>
      </w:r>
      <w:r>
        <w:rPr>
          <w:rFonts w:cs="Arial"/>
          <w:b/>
          <w:bCs/>
          <w:color w:val="000000"/>
          <w:sz w:val="22"/>
          <w:szCs w:val="22"/>
        </w:rPr>
        <w:t xml:space="preserve"> health and environmental impacts are a siting issue</w:t>
      </w:r>
      <w:r>
        <w:rPr>
          <w:rFonts w:cs="Arial"/>
          <w:color w:val="000000"/>
          <w:sz w:val="22"/>
          <w:szCs w:val="22"/>
        </w:rPr>
        <w:t xml:space="preserve"> despite the commonly held position that health impacts cannot be considered beyond receiving an ICNIRP certificate. (See Appen</w:t>
      </w:r>
      <w:r w:rsidR="00C56FEA">
        <w:rPr>
          <w:rFonts w:cs="Arial"/>
          <w:color w:val="000000"/>
          <w:sz w:val="22"/>
          <w:szCs w:val="22"/>
        </w:rPr>
        <w:t>d</w:t>
      </w:r>
      <w:r>
        <w:rPr>
          <w:rFonts w:cs="Arial"/>
          <w:color w:val="000000"/>
          <w:sz w:val="22"/>
          <w:szCs w:val="22"/>
        </w:rPr>
        <w:t>ix 1).</w:t>
      </w:r>
    </w:p>
    <w:p w14:paraId="4208D3F5" w14:textId="77777777" w:rsidR="00A37EC2" w:rsidRDefault="00A37EC2">
      <w:pPr>
        <w:rPr>
          <w:rFonts w:hint="eastAsia"/>
          <w:b/>
          <w:bCs/>
          <w:sz w:val="22"/>
          <w:szCs w:val="22"/>
        </w:rPr>
      </w:pPr>
    </w:p>
    <w:p w14:paraId="67B8251C" w14:textId="55957864" w:rsidR="00A37EC2" w:rsidRDefault="00000000">
      <w:pPr>
        <w:rPr>
          <w:rFonts w:hint="eastAsia"/>
          <w:sz w:val="22"/>
          <w:szCs w:val="22"/>
        </w:rPr>
      </w:pPr>
      <w:r>
        <w:rPr>
          <w:rFonts w:cs="Arial"/>
          <w:i/>
          <w:iCs/>
          <w:color w:val="000000"/>
          <w:sz w:val="22"/>
          <w:szCs w:val="22"/>
        </w:rPr>
        <w:t>The in-depth analysis of the legal position on RFR regulation highlights:</w:t>
      </w:r>
    </w:p>
    <w:p w14:paraId="1E748B79" w14:textId="77777777" w:rsidR="00A37EC2" w:rsidRDefault="00A37EC2">
      <w:pPr>
        <w:rPr>
          <w:rFonts w:hint="eastAsia"/>
          <w:sz w:val="22"/>
          <w:szCs w:val="22"/>
        </w:rPr>
      </w:pPr>
    </w:p>
    <w:p w14:paraId="781774CC" w14:textId="47C7BA3D" w:rsidR="00A37EC2" w:rsidRDefault="00000000">
      <w:pPr>
        <w:numPr>
          <w:ilvl w:val="0"/>
          <w:numId w:val="4"/>
        </w:numPr>
        <w:rPr>
          <w:rFonts w:hint="eastAsia"/>
          <w:sz w:val="22"/>
          <w:szCs w:val="22"/>
        </w:rPr>
      </w:pPr>
      <w:r>
        <w:rPr>
          <w:rFonts w:cs="Arial"/>
          <w:color w:val="000000"/>
          <w:sz w:val="22"/>
          <w:szCs w:val="22"/>
        </w:rPr>
        <w:t xml:space="preserve">LPAs </w:t>
      </w:r>
      <w:r>
        <w:rPr>
          <w:rFonts w:cs="Arial"/>
          <w:b/>
          <w:bCs/>
          <w:i/>
          <w:iCs/>
          <w:color w:val="000000"/>
          <w:sz w:val="22"/>
          <w:szCs w:val="22"/>
        </w:rPr>
        <w:t>MUST</w:t>
      </w:r>
      <w:r>
        <w:rPr>
          <w:rFonts w:cs="Arial"/>
          <w:i/>
          <w:iCs/>
          <w:color w:val="000000"/>
          <w:sz w:val="22"/>
          <w:szCs w:val="22"/>
        </w:rPr>
        <w:t xml:space="preserve"> </w:t>
      </w:r>
      <w:r>
        <w:rPr>
          <w:rFonts w:cs="Arial"/>
          <w:color w:val="000000"/>
          <w:sz w:val="22"/>
          <w:szCs w:val="22"/>
        </w:rPr>
        <w:t>make an evidence-based determination of the risks to fully dispose of the material planning consideration 'incompatible and unacceptable’ use of the land. The ICNIRP certificate as evidence of safety</w:t>
      </w:r>
      <w:r w:rsidR="00C56FEA">
        <w:rPr>
          <w:rFonts w:cs="Arial"/>
          <w:color w:val="000000"/>
          <w:sz w:val="22"/>
          <w:szCs w:val="22"/>
        </w:rPr>
        <w:t xml:space="preserve"> </w:t>
      </w:r>
      <w:r>
        <w:rPr>
          <w:rFonts w:cs="Arial"/>
          <w:color w:val="000000"/>
          <w:sz w:val="22"/>
          <w:szCs w:val="22"/>
        </w:rPr>
        <w:t>must be weighed against the content of this objection as evidence of ‘incompatibility’. (Appendix 1.3 EECC submission link for full argument).</w:t>
      </w:r>
    </w:p>
    <w:p w14:paraId="36E8C021" w14:textId="77777777" w:rsidR="00A37EC2" w:rsidRDefault="00A37EC2">
      <w:pPr>
        <w:ind w:left="720"/>
        <w:rPr>
          <w:rFonts w:cs="Arial" w:hint="eastAsia"/>
          <w:color w:val="000000"/>
        </w:rPr>
      </w:pPr>
    </w:p>
    <w:p w14:paraId="1A1F7BF2" w14:textId="62387AD4" w:rsidR="00A37EC2" w:rsidRDefault="00000000">
      <w:pPr>
        <w:numPr>
          <w:ilvl w:val="0"/>
          <w:numId w:val="4"/>
        </w:numPr>
        <w:rPr>
          <w:rFonts w:hint="eastAsia"/>
          <w:sz w:val="22"/>
          <w:szCs w:val="22"/>
        </w:rPr>
      </w:pPr>
      <w:r>
        <w:rPr>
          <w:rFonts w:cs="Arial"/>
          <w:color w:val="000000"/>
          <w:sz w:val="22"/>
          <w:szCs w:val="22"/>
        </w:rPr>
        <w:t>LPAs</w:t>
      </w:r>
      <w:r>
        <w:rPr>
          <w:rFonts w:cs="Arial"/>
          <w:b/>
          <w:bCs/>
          <w:i/>
          <w:iCs/>
          <w:color w:val="000000"/>
          <w:sz w:val="22"/>
          <w:szCs w:val="22"/>
        </w:rPr>
        <w:t xml:space="preserve"> MUST</w:t>
      </w:r>
      <w:r>
        <w:rPr>
          <w:rFonts w:cs="Arial"/>
          <w:color w:val="000000"/>
          <w:sz w:val="22"/>
          <w:szCs w:val="22"/>
        </w:rPr>
        <w:t xml:space="preserve"> risk assess in situ to </w:t>
      </w:r>
      <w:proofErr w:type="spellStart"/>
      <w:r>
        <w:rPr>
          <w:rFonts w:cs="Arial"/>
          <w:color w:val="000000"/>
          <w:sz w:val="22"/>
          <w:szCs w:val="22"/>
        </w:rPr>
        <w:t>fulfill</w:t>
      </w:r>
      <w:proofErr w:type="spellEnd"/>
      <w:r>
        <w:rPr>
          <w:rFonts w:cs="Arial"/>
          <w:color w:val="000000"/>
          <w:sz w:val="22"/>
          <w:szCs w:val="22"/>
        </w:rPr>
        <w:t xml:space="preserve"> directly assigned ‘competent authority ‘EECC obligations. (Appendix 1.3)</w:t>
      </w:r>
    </w:p>
    <w:p w14:paraId="44E2B11B" w14:textId="77777777" w:rsidR="00A37EC2" w:rsidRDefault="00A37EC2">
      <w:pPr>
        <w:ind w:left="720"/>
        <w:rPr>
          <w:rFonts w:cs="Arial" w:hint="eastAsia"/>
          <w:color w:val="000000"/>
        </w:rPr>
      </w:pPr>
    </w:p>
    <w:p w14:paraId="47B12982" w14:textId="77777777" w:rsidR="00A37EC2" w:rsidRDefault="00000000">
      <w:pPr>
        <w:numPr>
          <w:ilvl w:val="0"/>
          <w:numId w:val="4"/>
        </w:numPr>
        <w:rPr>
          <w:rFonts w:hint="eastAsia"/>
          <w:sz w:val="22"/>
          <w:szCs w:val="22"/>
        </w:rPr>
      </w:pPr>
      <w:r>
        <w:rPr>
          <w:rFonts w:cs="Arial"/>
          <w:color w:val="000000"/>
          <w:sz w:val="22"/>
          <w:szCs w:val="22"/>
        </w:rPr>
        <w:t>LPA</w:t>
      </w:r>
      <w:r>
        <w:rPr>
          <w:rFonts w:cs="Arial"/>
          <w:i/>
          <w:iCs/>
          <w:color w:val="000000"/>
          <w:sz w:val="22"/>
          <w:szCs w:val="22"/>
        </w:rPr>
        <w:t xml:space="preserve">s </w:t>
      </w:r>
      <w:r>
        <w:rPr>
          <w:rFonts w:cs="Arial"/>
          <w:b/>
          <w:bCs/>
          <w:i/>
          <w:iCs/>
          <w:color w:val="000000"/>
          <w:sz w:val="22"/>
          <w:szCs w:val="22"/>
        </w:rPr>
        <w:t>CAN</w:t>
      </w:r>
      <w:r>
        <w:rPr>
          <w:rFonts w:cs="Arial"/>
          <w:color w:val="000000"/>
          <w:sz w:val="22"/>
          <w:szCs w:val="22"/>
        </w:rPr>
        <w:t xml:space="preserve"> lawfully refuse this mast application on health grounds. - </w:t>
      </w:r>
    </w:p>
    <w:p w14:paraId="72922BC0" w14:textId="77777777" w:rsidR="00A37EC2" w:rsidRDefault="00000000">
      <w:pPr>
        <w:ind w:left="720"/>
        <w:rPr>
          <w:rFonts w:hint="eastAsia"/>
          <w:i/>
          <w:iCs/>
          <w:sz w:val="22"/>
          <w:szCs w:val="22"/>
        </w:rPr>
      </w:pPr>
      <w:r>
        <w:rPr>
          <w:rFonts w:cs="Arial"/>
          <w:i/>
          <w:iCs/>
          <w:color w:val="000000"/>
          <w:sz w:val="22"/>
          <w:szCs w:val="22"/>
        </w:rPr>
        <w:t xml:space="preserve">Mendip Planning Board refused a 5G monopole in a semi-industrial location in March </w:t>
      </w:r>
      <w:proofErr w:type="gramStart"/>
      <w:r>
        <w:rPr>
          <w:rFonts w:cs="Arial"/>
          <w:i/>
          <w:iCs/>
          <w:color w:val="000000"/>
          <w:sz w:val="22"/>
          <w:szCs w:val="22"/>
        </w:rPr>
        <w:t>2022  on</w:t>
      </w:r>
      <w:proofErr w:type="gramEnd"/>
      <w:r>
        <w:rPr>
          <w:rFonts w:cs="Arial"/>
          <w:i/>
          <w:iCs/>
          <w:color w:val="000000"/>
          <w:sz w:val="22"/>
          <w:szCs w:val="22"/>
        </w:rPr>
        <w:t xml:space="preserve"> the grounds that ‘there is not enough evidence of safety to proceed’ after weighing all the information made available to them by objectors.</w:t>
      </w:r>
      <w:r>
        <w:rPr>
          <w:rFonts w:cs="Arial"/>
          <w:b/>
          <w:bCs/>
          <w:i/>
          <w:iCs/>
          <w:color w:val="000000"/>
          <w:sz w:val="22"/>
          <w:szCs w:val="22"/>
        </w:rPr>
        <w:t>2021/1951/FUL</w:t>
      </w:r>
    </w:p>
    <w:p w14:paraId="6CA5688C" w14:textId="77777777" w:rsidR="00A37EC2" w:rsidRDefault="00A37EC2">
      <w:pPr>
        <w:ind w:left="720"/>
        <w:rPr>
          <w:rFonts w:cs="Arial" w:hint="eastAsia"/>
          <w:b/>
          <w:bCs/>
          <w:i/>
          <w:iCs/>
          <w:color w:val="000000"/>
        </w:rPr>
      </w:pPr>
    </w:p>
    <w:p w14:paraId="20A8B02F" w14:textId="77777777" w:rsidR="00A37EC2" w:rsidRDefault="00000000">
      <w:pPr>
        <w:numPr>
          <w:ilvl w:val="0"/>
          <w:numId w:val="4"/>
        </w:numPr>
        <w:rPr>
          <w:rFonts w:hint="eastAsia"/>
          <w:sz w:val="22"/>
          <w:szCs w:val="22"/>
        </w:rPr>
      </w:pPr>
      <w:r>
        <w:rPr>
          <w:rFonts w:cs="Arial"/>
          <w:b/>
          <w:bCs/>
          <w:i/>
          <w:iCs/>
          <w:color w:val="000000"/>
          <w:sz w:val="22"/>
          <w:szCs w:val="22"/>
        </w:rPr>
        <w:t xml:space="preserve">LPAs have an independent obligation to establish the extent of your jurisdiction as a competent authority under the EECC. </w:t>
      </w:r>
    </w:p>
    <w:p w14:paraId="027BAF27" w14:textId="77777777" w:rsidR="00A37EC2" w:rsidRDefault="00A37EC2">
      <w:pPr>
        <w:ind w:left="720"/>
        <w:rPr>
          <w:rFonts w:hint="eastAsia"/>
          <w:sz w:val="22"/>
          <w:szCs w:val="22"/>
        </w:rPr>
      </w:pPr>
    </w:p>
    <w:p w14:paraId="5DFB27DC" w14:textId="36181975" w:rsidR="00A37EC2" w:rsidRDefault="00000000">
      <w:pPr>
        <w:rPr>
          <w:rFonts w:hint="eastAsia"/>
          <w:sz w:val="22"/>
          <w:szCs w:val="22"/>
        </w:rPr>
      </w:pPr>
      <w:r>
        <w:rPr>
          <w:rFonts w:cs="Arial"/>
          <w:color w:val="000000"/>
          <w:sz w:val="22"/>
          <w:szCs w:val="22"/>
        </w:rPr>
        <w:t>Despite the restrictive wording of NPPF Policy 122:</w:t>
      </w:r>
    </w:p>
    <w:p w14:paraId="073501B6" w14:textId="77777777" w:rsidR="00A37EC2" w:rsidRDefault="00A37EC2">
      <w:pPr>
        <w:rPr>
          <w:rFonts w:cs="Arial" w:hint="eastAsia"/>
          <w:color w:val="000000"/>
        </w:rPr>
      </w:pPr>
    </w:p>
    <w:p w14:paraId="178F64FB" w14:textId="5643F94A" w:rsidR="00A37EC2" w:rsidRDefault="00000000">
      <w:pPr>
        <w:rPr>
          <w:rFonts w:hint="eastAsia"/>
          <w:sz w:val="22"/>
          <w:szCs w:val="22"/>
        </w:rPr>
      </w:pPr>
      <w:r>
        <w:rPr>
          <w:rFonts w:cs="Arial"/>
          <w:color w:val="000000"/>
          <w:sz w:val="22"/>
          <w:szCs w:val="22"/>
        </w:rPr>
        <w:t xml:space="preserve"> ‘</w:t>
      </w:r>
      <w:r>
        <w:rPr>
          <w:rFonts w:cs="Arial"/>
          <w:i/>
          <w:iCs/>
          <w:color w:val="000000"/>
          <w:sz w:val="22"/>
          <w:szCs w:val="22"/>
        </w:rPr>
        <w:t>Local planning authorities must determine applications on planning grounds only. They should not seek to prevent competition between different operators, question the need for an electronic communications system, or</w:t>
      </w:r>
      <w:r>
        <w:rPr>
          <w:rFonts w:cs="Arial"/>
          <w:b/>
          <w:bCs/>
          <w:i/>
          <w:iCs/>
          <w:color w:val="000000"/>
          <w:sz w:val="22"/>
          <w:szCs w:val="22"/>
        </w:rPr>
        <w:t xml:space="preserve"> set health safeguards different from the International Commission guidelines for public exposure</w:t>
      </w:r>
      <w:r>
        <w:rPr>
          <w:rFonts w:cs="Arial"/>
          <w:b/>
          <w:bCs/>
          <w:color w:val="000000"/>
          <w:sz w:val="22"/>
          <w:szCs w:val="22"/>
        </w:rPr>
        <w:t>.’</w:t>
      </w:r>
      <w:r>
        <w:rPr>
          <w:rFonts w:cs="Arial"/>
          <w:color w:val="000000"/>
          <w:sz w:val="22"/>
          <w:szCs w:val="22"/>
        </w:rPr>
        <w:t>, The submission discusses the implications of the Wright Case, concluding that No single policy can be considered definitive (Wright</w:t>
      </w:r>
      <w:r>
        <w:rPr>
          <w:rFonts w:cs="Arial"/>
          <w:color w:val="000000"/>
          <w:sz w:val="22"/>
          <w:szCs w:val="22"/>
          <w:vertAlign w:val="superscript"/>
        </w:rPr>
        <w:t>2</w:t>
      </w:r>
      <w:proofErr w:type="gramStart"/>
      <w:r>
        <w:rPr>
          <w:rFonts w:cs="Arial"/>
          <w:color w:val="000000"/>
          <w:sz w:val="22"/>
          <w:szCs w:val="22"/>
        </w:rPr>
        <w:t>)  (</w:t>
      </w:r>
      <w:proofErr w:type="gramEnd"/>
      <w:r>
        <w:rPr>
          <w:rFonts w:cs="Arial"/>
          <w:color w:val="000000"/>
          <w:sz w:val="22"/>
          <w:szCs w:val="22"/>
        </w:rPr>
        <w:t>see Appendix 1.2) EECC submission  Remedy 4 page 37 below) so:</w:t>
      </w:r>
    </w:p>
    <w:p w14:paraId="7321BE0F" w14:textId="77777777" w:rsidR="00A37EC2" w:rsidRDefault="00A37EC2">
      <w:pPr>
        <w:rPr>
          <w:rFonts w:cs="Arial" w:hint="eastAsia"/>
        </w:rPr>
      </w:pPr>
    </w:p>
    <w:p w14:paraId="70852D39" w14:textId="7D8A1A19" w:rsidR="00A37EC2" w:rsidRDefault="00000000">
      <w:pPr>
        <w:pStyle w:val="Heading2"/>
        <w:rPr>
          <w:rFonts w:hint="eastAsia"/>
          <w:color w:val="2A6099"/>
          <w:sz w:val="24"/>
          <w:szCs w:val="24"/>
        </w:rPr>
      </w:pPr>
      <w:bookmarkStart w:id="5" w:name="_Toc210846941"/>
      <w:r>
        <w:rPr>
          <w:color w:val="2A6099"/>
          <w:sz w:val="24"/>
          <w:szCs w:val="24"/>
        </w:rPr>
        <w:lastRenderedPageBreak/>
        <w:t>PLEASE RISK RECONCILE THE HEALTH AND ENVIRONMENTAL EFFECTS TAKING FULLY INTO ACCOUNT:</w:t>
      </w:r>
      <w:bookmarkEnd w:id="5"/>
    </w:p>
    <w:p w14:paraId="4024D393" w14:textId="77777777" w:rsidR="00A37EC2" w:rsidRDefault="00A37EC2">
      <w:pPr>
        <w:rPr>
          <w:rFonts w:eastAsia="Microsoft YaHei" w:hint="eastAsia"/>
          <w:b/>
          <w:bCs/>
          <w:color w:val="2A6099"/>
        </w:rPr>
      </w:pPr>
    </w:p>
    <w:p w14:paraId="5FD58F95" w14:textId="766F4F40" w:rsidR="00A37EC2" w:rsidRDefault="00000000">
      <w:pPr>
        <w:numPr>
          <w:ilvl w:val="0"/>
          <w:numId w:val="6"/>
        </w:numPr>
        <w:spacing w:before="100" w:after="100"/>
        <w:rPr>
          <w:rFonts w:cs="Arial" w:hint="eastAsia"/>
          <w:color w:val="000000"/>
          <w:sz w:val="22"/>
          <w:szCs w:val="22"/>
        </w:rPr>
      </w:pPr>
      <w:r>
        <w:rPr>
          <w:rFonts w:cs="Arial"/>
          <w:color w:val="000000"/>
          <w:sz w:val="22"/>
          <w:szCs w:val="22"/>
        </w:rPr>
        <w:t xml:space="preserve">The July 2023 Luxembourg Institute of Science and Technology (LIST) paper explores the difficulty of accurately measuring 5G radiation due it’s more dynamic nature compared to 4G. The report specifically states that the </w:t>
      </w:r>
      <w:r>
        <w:rPr>
          <w:rFonts w:cs="Arial"/>
          <w:b/>
          <w:bCs/>
          <w:color w:val="000000"/>
          <w:sz w:val="22"/>
          <w:szCs w:val="22"/>
        </w:rPr>
        <w:t>Ofcom’s online survey UK 5G reports are ‘experimental</w:t>
      </w:r>
      <w:r>
        <w:rPr>
          <w:rFonts w:cs="Arial"/>
          <w:color w:val="000000"/>
          <w:sz w:val="22"/>
          <w:szCs w:val="22"/>
        </w:rPr>
        <w:t>’. Please include this fact in your risk assessment and apply precaution - if a pollutant cannot be measured then logically precaution should apply. (Appe</w:t>
      </w:r>
      <w:r w:rsidR="00C56FEA">
        <w:rPr>
          <w:rFonts w:cs="Arial"/>
          <w:color w:val="000000"/>
          <w:sz w:val="22"/>
          <w:szCs w:val="22"/>
        </w:rPr>
        <w:t>n</w:t>
      </w:r>
      <w:r>
        <w:rPr>
          <w:rFonts w:cs="Arial"/>
          <w:color w:val="000000"/>
          <w:sz w:val="22"/>
          <w:szCs w:val="22"/>
        </w:rPr>
        <w:t>dix</w:t>
      </w:r>
      <w:r>
        <w:rPr>
          <w:rFonts w:cs="Arial"/>
          <w:i/>
          <w:iCs/>
          <w:color w:val="000000"/>
          <w:sz w:val="22"/>
          <w:szCs w:val="22"/>
        </w:rPr>
        <w:t xml:space="preserve"> A2.12</w:t>
      </w:r>
      <w:r>
        <w:rPr>
          <w:rFonts w:cs="Arial"/>
          <w:color w:val="000000"/>
          <w:sz w:val="22"/>
          <w:szCs w:val="22"/>
        </w:rPr>
        <w:t>).</w:t>
      </w:r>
    </w:p>
    <w:p w14:paraId="1EF23786" w14:textId="77777777" w:rsidR="00A37EC2" w:rsidRDefault="00000000">
      <w:pPr>
        <w:numPr>
          <w:ilvl w:val="0"/>
          <w:numId w:val="6"/>
        </w:numPr>
        <w:rPr>
          <w:rFonts w:hint="eastAsia"/>
          <w:sz w:val="22"/>
          <w:szCs w:val="22"/>
        </w:rPr>
      </w:pPr>
      <w:r>
        <w:rPr>
          <w:sz w:val="22"/>
          <w:szCs w:val="22"/>
        </w:rPr>
        <w:t>Increased connectivity can be achieved by</w:t>
      </w:r>
      <w:r>
        <w:rPr>
          <w:b/>
          <w:bCs/>
          <w:sz w:val="22"/>
          <w:szCs w:val="22"/>
        </w:rPr>
        <w:t xml:space="preserve"> fibre which is a safe alternative.</w:t>
      </w:r>
    </w:p>
    <w:p w14:paraId="4D48D4D7" w14:textId="77777777" w:rsidR="00A37EC2" w:rsidRDefault="00000000">
      <w:pPr>
        <w:numPr>
          <w:ilvl w:val="0"/>
          <w:numId w:val="6"/>
        </w:numPr>
        <w:spacing w:before="100" w:after="100"/>
        <w:rPr>
          <w:rFonts w:cs="Arial" w:hint="eastAsia"/>
          <w:color w:val="000000"/>
          <w:sz w:val="22"/>
          <w:szCs w:val="22"/>
        </w:rPr>
      </w:pPr>
      <w:r>
        <w:rPr>
          <w:rFonts w:cs="Arial"/>
          <w:b/>
          <w:bCs/>
          <w:color w:val="000000"/>
          <w:sz w:val="22"/>
          <w:szCs w:val="22"/>
        </w:rPr>
        <w:t xml:space="preserve">Scientific evidence invalidates health assumptions underlying the ICNIRP exposure limit determinations for radiofrequency radiation and there are implications for 5G. </w:t>
      </w:r>
      <w:r>
        <w:rPr>
          <w:rFonts w:cs="Arial"/>
          <w:color w:val="000000"/>
          <w:sz w:val="22"/>
          <w:szCs w:val="22"/>
        </w:rPr>
        <w:t xml:space="preserve">There is a sensory </w:t>
      </w:r>
      <w:r>
        <w:rPr>
          <w:rFonts w:cs="Arial"/>
          <w:b/>
          <w:bCs/>
          <w:color w:val="000000"/>
          <w:sz w:val="22"/>
          <w:szCs w:val="22"/>
        </w:rPr>
        <w:t>auditory exposure limit</w:t>
      </w:r>
      <w:r>
        <w:rPr>
          <w:rFonts w:cs="Arial"/>
          <w:color w:val="000000"/>
          <w:sz w:val="22"/>
          <w:szCs w:val="22"/>
        </w:rPr>
        <w:t xml:space="preserve"> </w:t>
      </w:r>
      <w:proofErr w:type="gramStart"/>
      <w:r>
        <w:rPr>
          <w:rFonts w:cs="Arial"/>
          <w:color w:val="000000"/>
          <w:sz w:val="22"/>
          <w:szCs w:val="22"/>
        </w:rPr>
        <w:t>within  ICNIRP</w:t>
      </w:r>
      <w:proofErr w:type="gramEnd"/>
      <w:r>
        <w:rPr>
          <w:rFonts w:cs="Arial"/>
          <w:color w:val="000000"/>
          <w:sz w:val="22"/>
          <w:szCs w:val="22"/>
        </w:rPr>
        <w:t xml:space="preserve"> (1998), ICNIRP 2020 statement &amp;1999/519/EC  to protect people from microwave hearing. roughly</w:t>
      </w:r>
      <w:r>
        <w:rPr>
          <w:rFonts w:cs="Arial"/>
          <w:b/>
          <w:bCs/>
          <w:color w:val="000000"/>
          <w:sz w:val="22"/>
          <w:szCs w:val="22"/>
        </w:rPr>
        <w:t xml:space="preserve"> 0.5% of the basic ICNIRP exposure limit which must be complied.</w:t>
      </w:r>
      <w:r>
        <w:rPr>
          <w:rFonts w:cs="Arial"/>
          <w:color w:val="000000"/>
          <w:sz w:val="22"/>
          <w:szCs w:val="22"/>
        </w:rPr>
        <w:t xml:space="preserve"> (Appendix 2.14)</w:t>
      </w:r>
    </w:p>
    <w:p w14:paraId="7E1A08AE" w14:textId="77777777" w:rsidR="00A37EC2" w:rsidRDefault="00000000">
      <w:pPr>
        <w:pStyle w:val="Standard"/>
        <w:numPr>
          <w:ilvl w:val="0"/>
          <w:numId w:val="6"/>
        </w:numPr>
        <w:tabs>
          <w:tab w:val="clear" w:pos="720"/>
          <w:tab w:val="left" w:pos="1440"/>
        </w:tabs>
        <w:rPr>
          <w:rFonts w:ascii="Amiri" w:hAnsi="Amiri" w:hint="eastAsia"/>
          <w:sz w:val="22"/>
          <w:szCs w:val="22"/>
        </w:rPr>
      </w:pPr>
      <w:r>
        <w:rPr>
          <w:rFonts w:ascii="Amiri" w:hAnsi="Amiri"/>
          <w:sz w:val="22"/>
          <w:szCs w:val="22"/>
          <w:shd w:val="clear" w:color="auto" w:fill="FFFFFF"/>
        </w:rPr>
        <w:t xml:space="preserve">Those with </w:t>
      </w:r>
      <w:r>
        <w:rPr>
          <w:rFonts w:ascii="Amiri" w:hAnsi="Amiri"/>
          <w:b/>
          <w:bCs/>
          <w:sz w:val="22"/>
          <w:szCs w:val="22"/>
          <w:shd w:val="clear" w:color="auto" w:fill="FFFFFF"/>
        </w:rPr>
        <w:t>pacemakers, metal shunts, children with dental braces etc are not protected by the ICNIRP guidelines</w:t>
      </w:r>
      <w:r>
        <w:rPr>
          <w:rFonts w:ascii="Amiri" w:hAnsi="Amiri"/>
          <w:sz w:val="22"/>
          <w:szCs w:val="22"/>
          <w:shd w:val="clear" w:color="auto" w:fill="FFFFFF"/>
        </w:rPr>
        <w:t>. ICNIRP state that the effect of RFR inside the body is unpredictable when metal implants are present. Please screen for this group in your risk assessment.</w:t>
      </w:r>
    </w:p>
    <w:p w14:paraId="47CBED7A" w14:textId="77777777" w:rsidR="00A37EC2" w:rsidRDefault="00A37EC2">
      <w:pPr>
        <w:pStyle w:val="Standard"/>
        <w:tabs>
          <w:tab w:val="left" w:pos="1800"/>
        </w:tabs>
        <w:ind w:left="720"/>
        <w:rPr>
          <w:shd w:val="clear" w:color="auto" w:fill="FFFFFF"/>
        </w:rPr>
      </w:pPr>
    </w:p>
    <w:p w14:paraId="75623B4E" w14:textId="77777777" w:rsidR="00A37EC2" w:rsidRDefault="00000000">
      <w:pPr>
        <w:pStyle w:val="Standard"/>
        <w:numPr>
          <w:ilvl w:val="0"/>
          <w:numId w:val="6"/>
        </w:numPr>
        <w:tabs>
          <w:tab w:val="clear" w:pos="720"/>
          <w:tab w:val="left" w:pos="1440"/>
        </w:tabs>
        <w:rPr>
          <w:rFonts w:ascii="Amiri" w:hAnsi="Amiri" w:hint="eastAsia"/>
          <w:sz w:val="22"/>
          <w:szCs w:val="22"/>
        </w:rPr>
      </w:pPr>
      <w:r>
        <w:rPr>
          <w:rFonts w:ascii="Amiri" w:hAnsi="Amiri" w:cs="Arial"/>
          <w:color w:val="000000"/>
          <w:sz w:val="22"/>
          <w:szCs w:val="22"/>
        </w:rPr>
        <w:t>An estimated</w:t>
      </w:r>
      <w:r>
        <w:rPr>
          <w:rFonts w:ascii="Amiri" w:hAnsi="Amiri" w:cs="Arial"/>
          <w:b/>
          <w:bCs/>
          <w:color w:val="000000"/>
          <w:sz w:val="22"/>
          <w:szCs w:val="22"/>
        </w:rPr>
        <w:t xml:space="preserve"> 3-5% of the population have </w:t>
      </w:r>
      <w:proofErr w:type="spellStart"/>
      <w:r>
        <w:rPr>
          <w:rFonts w:ascii="Amiri" w:hAnsi="Amiri" w:cs="Arial"/>
          <w:b/>
          <w:bCs/>
          <w:color w:val="000000"/>
          <w:sz w:val="22"/>
          <w:szCs w:val="22"/>
        </w:rPr>
        <w:t>Electrohypersensitivity</w:t>
      </w:r>
      <w:proofErr w:type="spellEnd"/>
      <w:r>
        <w:rPr>
          <w:rFonts w:ascii="Amiri" w:hAnsi="Amiri" w:cs="Arial"/>
          <w:b/>
          <w:bCs/>
          <w:color w:val="000000"/>
          <w:sz w:val="22"/>
          <w:szCs w:val="22"/>
        </w:rPr>
        <w:t>.</w:t>
      </w:r>
      <w:r>
        <w:rPr>
          <w:rFonts w:ascii="Amiri" w:hAnsi="Amiri" w:cs="Arial"/>
          <w:color w:val="000000"/>
          <w:sz w:val="22"/>
          <w:szCs w:val="22"/>
        </w:rPr>
        <w:t xml:space="preserve"> It is disingenuous for governmental bodies to keep claiming EHS is psychosomatic, as there are now legal precedents for the requirement of low emf environments.</w:t>
      </w:r>
      <w:r>
        <w:rPr>
          <w:rFonts w:ascii="Amiri" w:hAnsi="Amiri" w:cs="Arial"/>
          <w:b/>
          <w:bCs/>
          <w:color w:val="000000"/>
          <w:sz w:val="22"/>
          <w:szCs w:val="22"/>
        </w:rPr>
        <w:t xml:space="preserve"> Please include this group in your risk assessment.</w:t>
      </w:r>
      <w:r>
        <w:rPr>
          <w:rFonts w:ascii="Amiri" w:hAnsi="Amiri" w:cs="Arial"/>
          <w:color w:val="000000"/>
          <w:sz w:val="22"/>
          <w:szCs w:val="22"/>
        </w:rPr>
        <w:t xml:space="preserve"> The screening for avoidable harm, injury, and nuisance needs to acknowledge and seek to accommodate the needs of people with EHS disability. </w:t>
      </w:r>
      <w:r>
        <w:rPr>
          <w:rFonts w:ascii="Amiri" w:hAnsi="Amiri" w:cs="Arial"/>
          <w:b/>
          <w:bCs/>
          <w:color w:val="000000"/>
          <w:sz w:val="22"/>
          <w:szCs w:val="22"/>
        </w:rPr>
        <w:t>Legal precedents have been set</w:t>
      </w:r>
      <w:r>
        <w:rPr>
          <w:rFonts w:ascii="Amiri" w:hAnsi="Amiri" w:cs="Arial"/>
          <w:color w:val="000000"/>
          <w:sz w:val="22"/>
          <w:szCs w:val="22"/>
        </w:rPr>
        <w:t xml:space="preserve"> for those with EHS (See Appendix A2.13) The proliferation of wireless radiation in Public Spaces does not comply with the </w:t>
      </w:r>
      <w:r>
        <w:rPr>
          <w:rFonts w:ascii="Amiri" w:hAnsi="Amiri" w:cs="Arial"/>
          <w:b/>
          <w:bCs/>
          <w:color w:val="000000"/>
          <w:sz w:val="22"/>
          <w:szCs w:val="22"/>
        </w:rPr>
        <w:t>2010 Equalities Act,</w:t>
      </w:r>
      <w:r>
        <w:rPr>
          <w:rFonts w:ascii="Amiri" w:hAnsi="Amiri" w:cs="Arial"/>
          <w:color w:val="000000"/>
          <w:sz w:val="22"/>
          <w:szCs w:val="22"/>
        </w:rPr>
        <w:t xml:space="preserve"> nor does it comply with UK Inclusion Policy.</w:t>
      </w:r>
      <w:r>
        <w:rPr>
          <w:rFonts w:ascii="Amiri" w:hAnsi="Amiri" w:cs="Arial"/>
          <w:color w:val="000000"/>
          <w:sz w:val="22"/>
          <w:szCs w:val="22"/>
          <w:shd w:val="clear" w:color="auto" w:fill="FFFFFF"/>
        </w:rPr>
        <w:t> </w:t>
      </w:r>
    </w:p>
    <w:p w14:paraId="548A254F" w14:textId="77777777" w:rsidR="00A37EC2" w:rsidRDefault="00A37EC2">
      <w:pPr>
        <w:pStyle w:val="Standard"/>
        <w:tabs>
          <w:tab w:val="left" w:pos="1800"/>
        </w:tabs>
        <w:ind w:left="720"/>
        <w:rPr>
          <w:rStyle w:val="Hyperlink"/>
          <w:rFonts w:ascii="Amiri" w:hAnsi="Amiri" w:hint="eastAsia"/>
          <w:sz w:val="22"/>
          <w:szCs w:val="22"/>
          <w:shd w:val="clear" w:color="auto" w:fill="FFFFFF"/>
        </w:rPr>
      </w:pPr>
    </w:p>
    <w:p w14:paraId="52C618D9" w14:textId="77777777" w:rsidR="00A37EC2" w:rsidRDefault="00000000">
      <w:pPr>
        <w:numPr>
          <w:ilvl w:val="0"/>
          <w:numId w:val="6"/>
        </w:numPr>
        <w:rPr>
          <w:rFonts w:cs="Arial" w:hint="eastAsia"/>
          <w:color w:val="000000"/>
          <w:sz w:val="22"/>
          <w:szCs w:val="22"/>
        </w:rPr>
      </w:pPr>
      <w:r>
        <w:rPr>
          <w:rFonts w:cs="Arial"/>
          <w:b/>
          <w:bCs/>
          <w:color w:val="000000"/>
          <w:sz w:val="22"/>
          <w:szCs w:val="22"/>
        </w:rPr>
        <w:t xml:space="preserve">ICNIRP do not set exposure guideline limits for flora and fauna. </w:t>
      </w:r>
    </w:p>
    <w:p w14:paraId="14B40BCF" w14:textId="672A84AF" w:rsidR="00A37EC2" w:rsidRDefault="00000000">
      <w:pPr>
        <w:ind w:left="720"/>
        <w:rPr>
          <w:rFonts w:cs="Arial"/>
          <w:color w:val="000000"/>
          <w:sz w:val="22"/>
          <w:szCs w:val="22"/>
          <w:shd w:val="clear" w:color="auto" w:fill="FFFFFF"/>
        </w:rPr>
      </w:pPr>
      <w:r>
        <w:rPr>
          <w:rFonts w:cs="Arial"/>
          <w:color w:val="000000"/>
          <w:sz w:val="22"/>
          <w:szCs w:val="22"/>
        </w:rPr>
        <w:t xml:space="preserve">There is growing evidence of harmful effects to both plant and animal life that depend on Earth’s magnetic field for navigation, breeding, food, migration and indeed survival. Recently reported research shows current levels of artificial radiation are already interfering with these biological processes. Please include the research in </w:t>
      </w:r>
      <w:proofErr w:type="gramStart"/>
      <w:r>
        <w:rPr>
          <w:rFonts w:cs="Arial"/>
          <w:color w:val="000000"/>
          <w:sz w:val="22"/>
          <w:szCs w:val="22"/>
        </w:rPr>
        <w:t xml:space="preserve">the  </w:t>
      </w:r>
      <w:r w:rsidR="00C56FEA">
        <w:rPr>
          <w:rFonts w:cs="Arial"/>
          <w:color w:val="000000"/>
          <w:sz w:val="22"/>
          <w:szCs w:val="22"/>
        </w:rPr>
        <w:t>International</w:t>
      </w:r>
      <w:proofErr w:type="gramEnd"/>
      <w:r>
        <w:rPr>
          <w:rFonts w:cs="Arial"/>
          <w:color w:val="000000"/>
          <w:sz w:val="22"/>
          <w:szCs w:val="22"/>
        </w:rPr>
        <w:t xml:space="preserve"> commission of biological effects ICBE-EMF paper in your risk assessment of environmental effects and in relation to </w:t>
      </w:r>
      <w:r>
        <w:rPr>
          <w:rFonts w:cs="Arial"/>
          <w:color w:val="000000"/>
          <w:sz w:val="22"/>
          <w:szCs w:val="22"/>
          <w:shd w:val="clear" w:color="auto" w:fill="FFFFFF"/>
        </w:rPr>
        <w:t>NPPF 185 (179) and 186 (180) "</w:t>
      </w:r>
      <w:r>
        <w:rPr>
          <w:rFonts w:cs="Arial"/>
          <w:i/>
          <w:iCs/>
          <w:color w:val="000000"/>
          <w:sz w:val="22"/>
          <w:szCs w:val="22"/>
          <w:shd w:val="clear" w:color="auto" w:fill="FFFFFF"/>
        </w:rPr>
        <w:t>development resulting in the loss or deterioration of irreplaceable habitats should be refused, unless there are wholly exceptional reasons …</w:t>
      </w:r>
      <w:r>
        <w:rPr>
          <w:rFonts w:cs="Arial"/>
          <w:color w:val="000000"/>
          <w:sz w:val="22"/>
          <w:szCs w:val="22"/>
          <w:shd w:val="clear" w:color="auto" w:fill="FFFFFF"/>
        </w:rPr>
        <w:t>" There is substantial direct evidence of population-wide insect decline related to the installation of 4G and 5G infrastructure, and 72/83 lab studies show adverse effects of RFR on insects.</w:t>
      </w:r>
    </w:p>
    <w:p w14:paraId="26ED488D" w14:textId="77777777" w:rsidR="00C56FEA" w:rsidRDefault="00C56FEA">
      <w:pPr>
        <w:ind w:left="720"/>
        <w:rPr>
          <w:rFonts w:cs="Arial" w:hint="eastAsia"/>
          <w:color w:val="000000"/>
          <w:sz w:val="22"/>
          <w:szCs w:val="22"/>
        </w:rPr>
      </w:pPr>
    </w:p>
    <w:p w14:paraId="5A35C8E8" w14:textId="77777777" w:rsidR="00A37EC2" w:rsidRDefault="00000000">
      <w:pPr>
        <w:ind w:left="720"/>
        <w:rPr>
          <w:rFonts w:cs="Arial" w:hint="eastAsia"/>
          <w:color w:val="000000"/>
          <w:sz w:val="22"/>
          <w:szCs w:val="22"/>
        </w:rPr>
      </w:pPr>
      <w:r>
        <w:rPr>
          <w:rFonts w:cs="Arial"/>
          <w:color w:val="000000"/>
          <w:sz w:val="22"/>
          <w:szCs w:val="22"/>
          <w:shd w:val="clear" w:color="auto" w:fill="FFFFFF"/>
        </w:rPr>
        <w:t xml:space="preserve">Please consider that many urban species including the House Sparrow and the Starling are protected by </w:t>
      </w:r>
      <w:r>
        <w:rPr>
          <w:rFonts w:cs="Arial"/>
          <w:b/>
          <w:bCs/>
          <w:color w:val="000000"/>
          <w:sz w:val="22"/>
          <w:szCs w:val="22"/>
          <w:shd w:val="clear" w:color="auto" w:fill="FFFFFF"/>
        </w:rPr>
        <w:t xml:space="preserve">The Natural Environment and Rural Communities Act 2006 (NERC Act) </w:t>
      </w:r>
      <w:r>
        <w:rPr>
          <w:rFonts w:cs="Arial"/>
          <w:color w:val="000000"/>
          <w:sz w:val="22"/>
          <w:szCs w:val="22"/>
          <w:shd w:val="clear" w:color="auto" w:fill="FFFFFF"/>
        </w:rPr>
        <w:t xml:space="preserve">Your statutory duty set out in Section 40 of the NERC Act states that </w:t>
      </w:r>
      <w:r>
        <w:rPr>
          <w:rFonts w:cs="Arial"/>
          <w:i/>
          <w:iCs/>
          <w:color w:val="000000"/>
          <w:sz w:val="22"/>
          <w:szCs w:val="22"/>
          <w:shd w:val="clear" w:color="auto" w:fill="FFFFFF"/>
        </w:rPr>
        <w:t>"Every public authority must, in exercising its functions, have regard, so far as is consistent with the proper exercise of those functions, to the purpose of conserving biodiversity"</w:t>
      </w:r>
    </w:p>
    <w:p w14:paraId="5C695BC6" w14:textId="77777777" w:rsidR="00A37EC2" w:rsidRDefault="00000000">
      <w:pPr>
        <w:ind w:left="720"/>
        <w:rPr>
          <w:rFonts w:cs="Arial" w:hint="eastAsia"/>
          <w:sz w:val="22"/>
          <w:szCs w:val="22"/>
        </w:rPr>
      </w:pPr>
      <w:r>
        <w:rPr>
          <w:rFonts w:cs="Arial"/>
          <w:color w:val="000000"/>
          <w:sz w:val="22"/>
          <w:szCs w:val="22"/>
          <w:shd w:val="clear" w:color="auto" w:fill="FFFFFF"/>
        </w:rPr>
        <w:t>Section 41 of the Act refers to a published list of habitats and species which are of principal importance for the conservation of biodiversity in England. The Duty applies to all local authorities, community, parish and town councils, police, fire and health authorities and utility companies.  (Please see section F of the ICBE-EMF paper Evidence section 4.)</w:t>
      </w:r>
    </w:p>
    <w:p w14:paraId="06E0089E" w14:textId="77777777" w:rsidR="00A37EC2" w:rsidRDefault="00A37EC2">
      <w:pPr>
        <w:ind w:left="720"/>
        <w:rPr>
          <w:rFonts w:cs="Arial" w:hint="eastAsia"/>
          <w:color w:val="000000"/>
          <w:sz w:val="22"/>
          <w:szCs w:val="22"/>
        </w:rPr>
      </w:pPr>
    </w:p>
    <w:p w14:paraId="5BB75CCE" w14:textId="77777777" w:rsidR="00A37EC2" w:rsidRDefault="00000000">
      <w:pPr>
        <w:numPr>
          <w:ilvl w:val="0"/>
          <w:numId w:val="6"/>
        </w:numPr>
        <w:rPr>
          <w:rFonts w:cs="Arial" w:hint="eastAsia"/>
          <w:color w:val="000000"/>
          <w:sz w:val="22"/>
          <w:szCs w:val="22"/>
        </w:rPr>
      </w:pPr>
      <w:r>
        <w:rPr>
          <w:rFonts w:cs="Arial"/>
          <w:b/>
          <w:bCs/>
          <w:color w:val="000000"/>
          <w:sz w:val="22"/>
          <w:szCs w:val="22"/>
        </w:rPr>
        <w:t>There are no ‘in situ’ studies which show 5G is safe.</w:t>
      </w:r>
      <w:r>
        <w:rPr>
          <w:rFonts w:cs="Arial"/>
          <w:color w:val="000000"/>
          <w:sz w:val="22"/>
          <w:szCs w:val="22"/>
        </w:rPr>
        <w:t xml:space="preserve"> ICNIRP claim the research included in the determining the exposure guideline is adequate for 5G, but this research does not include studies of 5G in situ.  </w:t>
      </w:r>
      <w:r>
        <w:rPr>
          <w:rFonts w:cs="Arial"/>
          <w:b/>
          <w:bCs/>
          <w:color w:val="000000"/>
          <w:sz w:val="22"/>
          <w:szCs w:val="22"/>
        </w:rPr>
        <w:t xml:space="preserve">Please apply precaution according to the procedural standard within the 1999/519/EC recommendation.  </w:t>
      </w:r>
    </w:p>
    <w:p w14:paraId="247028A6" w14:textId="77777777" w:rsidR="00A37EC2" w:rsidRDefault="00A37EC2">
      <w:pPr>
        <w:ind w:left="720"/>
        <w:rPr>
          <w:rFonts w:cs="Arial" w:hint="eastAsia"/>
          <w:color w:val="000000"/>
          <w:sz w:val="22"/>
          <w:szCs w:val="22"/>
        </w:rPr>
      </w:pPr>
    </w:p>
    <w:p w14:paraId="7DD42BA9" w14:textId="77777777" w:rsidR="00A37EC2" w:rsidRDefault="00000000">
      <w:pPr>
        <w:numPr>
          <w:ilvl w:val="0"/>
          <w:numId w:val="6"/>
        </w:numPr>
        <w:rPr>
          <w:rFonts w:hint="eastAsia"/>
          <w:sz w:val="22"/>
          <w:szCs w:val="22"/>
        </w:rPr>
      </w:pPr>
      <w:r>
        <w:rPr>
          <w:rFonts w:cs="Arial"/>
          <w:color w:val="000000"/>
          <w:sz w:val="22"/>
          <w:szCs w:val="22"/>
        </w:rPr>
        <w:t>The results of</w:t>
      </w:r>
      <w:r>
        <w:rPr>
          <w:rFonts w:cs="Arial"/>
          <w:b/>
          <w:bCs/>
          <w:color w:val="000000"/>
          <w:sz w:val="22"/>
          <w:szCs w:val="22"/>
        </w:rPr>
        <w:t xml:space="preserve"> the first six studies of ‘in situ’ 5G published in 2023 recorded severe symptoms within a few days to a few weeks to residents within 5-125m.</w:t>
      </w:r>
      <w:r>
        <w:rPr>
          <w:rFonts w:cs="Arial"/>
          <w:color w:val="000000"/>
          <w:sz w:val="22"/>
          <w:szCs w:val="22"/>
        </w:rPr>
        <w:t xml:space="preserve"> (Please see the table in Evidence section 5.) Please give significant weight to this in relation to NPPF 96 (92) and 191 (185).</w:t>
      </w:r>
    </w:p>
    <w:p w14:paraId="4F9BFDE9" w14:textId="77777777" w:rsidR="00A37EC2" w:rsidRDefault="00A37EC2">
      <w:pPr>
        <w:ind w:left="720"/>
        <w:rPr>
          <w:rFonts w:cs="Arial" w:hint="eastAsia"/>
          <w:color w:val="000000"/>
        </w:rPr>
      </w:pPr>
    </w:p>
    <w:p w14:paraId="2E68B5E0" w14:textId="77777777" w:rsidR="00A37EC2" w:rsidRDefault="00000000">
      <w:pPr>
        <w:numPr>
          <w:ilvl w:val="0"/>
          <w:numId w:val="6"/>
        </w:numPr>
        <w:rPr>
          <w:rFonts w:hint="eastAsia"/>
          <w:b/>
          <w:bCs/>
          <w:sz w:val="22"/>
          <w:szCs w:val="22"/>
        </w:rPr>
      </w:pPr>
      <w:r>
        <w:rPr>
          <w:rFonts w:cs="Arial"/>
          <w:b/>
          <w:bCs/>
          <w:color w:val="000000"/>
          <w:sz w:val="22"/>
          <w:szCs w:val="22"/>
        </w:rPr>
        <w:t>Peer reviewed science fully justifies a 500m setback to protect harm injury and nuisance.</w:t>
      </w:r>
    </w:p>
    <w:p w14:paraId="0216313D" w14:textId="77777777" w:rsidR="00A37EC2" w:rsidRDefault="00000000">
      <w:pPr>
        <w:pStyle w:val="standard0"/>
        <w:tabs>
          <w:tab w:val="left" w:pos="1800"/>
        </w:tabs>
        <w:spacing w:before="0" w:after="0"/>
        <w:ind w:left="720"/>
        <w:rPr>
          <w:rFonts w:hint="eastAsia"/>
        </w:rPr>
      </w:pPr>
      <w:r>
        <w:rPr>
          <w:rFonts w:cs="Arial"/>
          <w:color w:val="000000"/>
          <w:sz w:val="22"/>
          <w:szCs w:val="22"/>
          <w:shd w:val="clear" w:color="auto" w:fill="FFFFFF"/>
        </w:rPr>
        <w:t xml:space="preserve">Costs of £13k were awarded against Brighton and Hove City council in Nov 2021 when </w:t>
      </w:r>
      <w:r>
        <w:rPr>
          <w:rFonts w:cs="Arial"/>
          <w:color w:val="000000"/>
          <w:sz w:val="22"/>
          <w:szCs w:val="22"/>
        </w:rPr>
        <w:t>they failed to address the health impacts of a proposed mast and to obtain adequate evidence of the assessment of the proximity of the mast to the school and the amended proposal. (Consent order 4/11/2021). Ref</w:t>
      </w:r>
      <w:r>
        <w:rPr>
          <w:rStyle w:val="apple-converted-space"/>
          <w:rFonts w:cs="Arial"/>
          <w:color w:val="000000"/>
          <w:sz w:val="22"/>
          <w:szCs w:val="22"/>
          <w:lang w:bidi="ar-SA"/>
        </w:rPr>
        <w:t xml:space="preserve"> </w:t>
      </w:r>
      <w:r>
        <w:rPr>
          <w:rFonts w:cs="Arial"/>
          <w:color w:val="000000"/>
          <w:sz w:val="22"/>
          <w:szCs w:val="22"/>
        </w:rPr>
        <w:t>BH2021/01639.</w:t>
      </w:r>
    </w:p>
    <w:p w14:paraId="286BA2FD" w14:textId="77777777" w:rsidR="00A37EC2" w:rsidRDefault="00A37EC2">
      <w:pPr>
        <w:pStyle w:val="Standard"/>
        <w:tabs>
          <w:tab w:val="left" w:pos="1440"/>
        </w:tabs>
        <w:ind w:left="720"/>
        <w:rPr>
          <w:rFonts w:cs="Arial"/>
          <w:b/>
          <w:bCs/>
          <w:color w:val="000000"/>
        </w:rPr>
      </w:pPr>
    </w:p>
    <w:p w14:paraId="445895BC" w14:textId="77777777" w:rsidR="00A37EC2" w:rsidRDefault="00000000">
      <w:pPr>
        <w:pStyle w:val="Standard"/>
        <w:numPr>
          <w:ilvl w:val="0"/>
          <w:numId w:val="6"/>
        </w:numPr>
        <w:tabs>
          <w:tab w:val="left" w:pos="720"/>
        </w:tabs>
        <w:rPr>
          <w:rFonts w:ascii="Amiri" w:hAnsi="Amiri" w:hint="eastAsia"/>
          <w:sz w:val="22"/>
          <w:szCs w:val="22"/>
        </w:rPr>
      </w:pPr>
      <w:r>
        <w:rPr>
          <w:rFonts w:ascii="Amiri" w:hAnsi="Amiri" w:cs="Arial"/>
          <w:color w:val="000000"/>
          <w:sz w:val="22"/>
          <w:szCs w:val="22"/>
        </w:rPr>
        <w:t>Schools are consulted during the planning application process, but</w:t>
      </w:r>
      <w:r>
        <w:rPr>
          <w:rFonts w:ascii="Amiri" w:hAnsi="Amiri" w:cs="Arial"/>
          <w:b/>
          <w:bCs/>
          <w:color w:val="000000"/>
          <w:sz w:val="22"/>
          <w:szCs w:val="22"/>
        </w:rPr>
        <w:t xml:space="preserve"> children are equally vulnerable in their homes, as are pregnant women and pre-school children. </w:t>
      </w:r>
    </w:p>
    <w:p w14:paraId="15752544" w14:textId="77777777" w:rsidR="00A37EC2" w:rsidRDefault="00A37EC2">
      <w:pPr>
        <w:pStyle w:val="Standard"/>
        <w:tabs>
          <w:tab w:val="left" w:pos="1440"/>
        </w:tabs>
        <w:ind w:left="720"/>
        <w:rPr>
          <w:rFonts w:cs="Arial"/>
          <w:color w:val="000000"/>
        </w:rPr>
      </w:pPr>
    </w:p>
    <w:p w14:paraId="4A235E9F" w14:textId="77777777" w:rsidR="00A37EC2" w:rsidRDefault="00000000">
      <w:pPr>
        <w:numPr>
          <w:ilvl w:val="0"/>
          <w:numId w:val="6"/>
        </w:numPr>
        <w:spacing w:before="100" w:after="100"/>
        <w:rPr>
          <w:rFonts w:cs="Arial" w:hint="eastAsia"/>
          <w:color w:val="000000"/>
          <w:sz w:val="22"/>
          <w:szCs w:val="22"/>
        </w:rPr>
      </w:pPr>
      <w:r>
        <w:rPr>
          <w:rFonts w:cs="Arial"/>
          <w:color w:val="000000"/>
          <w:sz w:val="22"/>
          <w:szCs w:val="22"/>
        </w:rPr>
        <w:t xml:space="preserve">The ICNIRP guidelines are just guidelines for exposures from a single source, the guideline does not include cumulative effects from </w:t>
      </w:r>
      <w:r>
        <w:rPr>
          <w:rFonts w:cs="Arial"/>
          <w:b/>
          <w:bCs/>
          <w:color w:val="000000"/>
          <w:sz w:val="22"/>
          <w:szCs w:val="22"/>
        </w:rPr>
        <w:t xml:space="preserve">multiple sources using different frequencies 24/7 </w:t>
      </w:r>
      <w:r>
        <w:rPr>
          <w:rFonts w:cs="Arial"/>
          <w:color w:val="000000"/>
          <w:sz w:val="22"/>
          <w:szCs w:val="22"/>
        </w:rPr>
        <w:t xml:space="preserve">over the long term. Supporting literature provided with this application may explain that emissions from nearby masts and 24/7 emissions have been included when calculating the ICNIRP compliance exclusion zones but this does </w:t>
      </w:r>
      <w:r>
        <w:rPr>
          <w:rFonts w:cs="Arial"/>
          <w:b/>
          <w:bCs/>
          <w:color w:val="000000"/>
          <w:sz w:val="22"/>
          <w:szCs w:val="22"/>
        </w:rPr>
        <w:t xml:space="preserve">not amount to an adequate risk assessment of the cumulative effects. </w:t>
      </w:r>
      <w:r>
        <w:rPr>
          <w:rFonts w:cs="Arial"/>
          <w:color w:val="000000"/>
          <w:sz w:val="22"/>
          <w:szCs w:val="22"/>
        </w:rPr>
        <w:t xml:space="preserve">NPPF policy 121b (117b). NPPF 96 (92) and 191 (185). </w:t>
      </w:r>
    </w:p>
    <w:p w14:paraId="49F1C716" w14:textId="77777777" w:rsidR="00A37EC2" w:rsidRDefault="00000000">
      <w:pPr>
        <w:numPr>
          <w:ilvl w:val="0"/>
          <w:numId w:val="6"/>
        </w:numPr>
        <w:spacing w:before="100" w:after="100"/>
        <w:rPr>
          <w:rFonts w:ascii="Calibri" w:hAnsi="Calibri"/>
          <w:sz w:val="22"/>
          <w:szCs w:val="22"/>
        </w:rPr>
      </w:pPr>
      <w:r>
        <w:rPr>
          <w:rFonts w:cs="Arial"/>
          <w:color w:val="000000"/>
          <w:sz w:val="22"/>
          <w:szCs w:val="22"/>
        </w:rPr>
        <w:t xml:space="preserve">Thousands of research papers which demonstrate harm from 3G and 4G via non-thermal effects with identified mechanisms of harm, </w:t>
      </w:r>
      <w:proofErr w:type="spellStart"/>
      <w:r>
        <w:rPr>
          <w:rFonts w:cs="Arial"/>
          <w:color w:val="000000"/>
          <w:sz w:val="22"/>
          <w:szCs w:val="22"/>
        </w:rPr>
        <w:t>eg</w:t>
      </w:r>
      <w:proofErr w:type="spellEnd"/>
      <w:r>
        <w:rPr>
          <w:rFonts w:cs="Arial"/>
          <w:color w:val="000000"/>
          <w:sz w:val="22"/>
          <w:szCs w:val="22"/>
        </w:rPr>
        <w:t xml:space="preserve"> oxidative stress, are not represented in the ICNIRP guideline. (Please see ICBE_EMF paper Evidence 4). </w:t>
      </w:r>
      <w:r>
        <w:rPr>
          <w:rFonts w:eastAsia="Arial Unicode MS" w:cs="Arial Unicode MS"/>
          <w:color w:val="000000"/>
          <w:sz w:val="22"/>
          <w:szCs w:val="22"/>
          <w:shd w:val="clear" w:color="auto" w:fill="FFFFFF"/>
        </w:rPr>
        <w:t xml:space="preserve">Nerve stimulation by the low frequency wave component of 5G has not been accounted for in the ICNIRP guidelines. There is an established mechanism of harm from wireless radiation, namely oxidative stress. </w:t>
      </w:r>
      <w:hyperlink r:id="rId5">
        <w:r>
          <w:rPr>
            <w:rStyle w:val="Hyperlink"/>
            <w:rFonts w:eastAsia="Arial Unicode MS" w:cs="Arial Unicode MS"/>
            <w:sz w:val="22"/>
            <w:szCs w:val="22"/>
            <w:shd w:val="clear" w:color="auto" w:fill="FFFFFF"/>
          </w:rPr>
          <w:t>https://pubmed.ncbi.nlm.nih.gov/35751553/</w:t>
        </w:r>
      </w:hyperlink>
      <w:r>
        <w:rPr>
          <w:rStyle w:val="Hyperlink"/>
          <w:rFonts w:eastAsia="Arial Unicode MS" w:cs="Arial Unicode MS"/>
          <w:sz w:val="22"/>
          <w:szCs w:val="22"/>
          <w:shd w:val="clear" w:color="auto" w:fill="FFFFFF"/>
        </w:rPr>
        <w:t xml:space="preserve"> 95</w:t>
      </w:r>
      <w:proofErr w:type="gramStart"/>
      <w:r>
        <w:rPr>
          <w:rStyle w:val="Hyperlink"/>
          <w:rFonts w:eastAsia="Arial Unicode MS" w:cs="Arial Unicode MS"/>
          <w:sz w:val="22"/>
          <w:szCs w:val="22"/>
          <w:shd w:val="clear" w:color="auto" w:fill="FFFFFF"/>
        </w:rPr>
        <w:t>%.</w:t>
      </w:r>
      <w:r>
        <w:rPr>
          <w:sz w:val="22"/>
          <w:szCs w:val="22"/>
        </w:rPr>
        <w:t>The</w:t>
      </w:r>
      <w:proofErr w:type="gramEnd"/>
      <w:r>
        <w:rPr>
          <w:sz w:val="22"/>
          <w:szCs w:val="22"/>
        </w:rPr>
        <w:t xml:space="preserve"> evidence in favour of compatibility provided by the </w:t>
      </w:r>
      <w:proofErr w:type="spellStart"/>
      <w:r>
        <w:rPr>
          <w:sz w:val="22"/>
          <w:szCs w:val="22"/>
        </w:rPr>
        <w:t>lCNIRP</w:t>
      </w:r>
      <w:proofErr w:type="spellEnd"/>
      <w:r>
        <w:rPr>
          <w:sz w:val="22"/>
          <w:szCs w:val="22"/>
        </w:rPr>
        <w:t xml:space="preserve"> certificate is countered by the evidence of harms below the ICNIRP guideline levels in the ICBE-EMF paper.  See Appendix 2 in the submission, (Legal background section point 2 below)</w:t>
      </w:r>
    </w:p>
    <w:p w14:paraId="5B6F8237" w14:textId="77777777" w:rsidR="00A37EC2" w:rsidRDefault="00000000">
      <w:pPr>
        <w:numPr>
          <w:ilvl w:val="0"/>
          <w:numId w:val="6"/>
        </w:numPr>
        <w:spacing w:before="100" w:after="100"/>
        <w:rPr>
          <w:rFonts w:hint="eastAsia"/>
        </w:rPr>
      </w:pPr>
      <w:r>
        <w:rPr>
          <w:rStyle w:val="Hyperlink"/>
          <w:rFonts w:eastAsia="Arial Unicode MS" w:cs="Arial Unicode MS"/>
          <w:color w:val="000000"/>
          <w:sz w:val="22"/>
          <w:szCs w:val="22"/>
          <w:u w:val="none"/>
          <w:shd w:val="clear" w:color="auto" w:fill="FFFFFF"/>
        </w:rPr>
        <w:t>Please consider that fibre is more efficient, a</w:t>
      </w:r>
      <w:r>
        <w:rPr>
          <w:rStyle w:val="Hyperlink"/>
          <w:rFonts w:eastAsia="Arial Unicode MS" w:cs="Arial"/>
          <w:color w:val="000000"/>
          <w:sz w:val="22"/>
          <w:szCs w:val="22"/>
          <w:u w:val="none"/>
          <w:shd w:val="clear" w:color="auto" w:fill="FFFFFF"/>
        </w:rPr>
        <w:t xml:space="preserve"> 5G mast consumes roughly 34 times the energy of a 4G mast.</w:t>
      </w:r>
    </w:p>
    <w:p w14:paraId="65379602" w14:textId="77777777" w:rsidR="00C56FEA" w:rsidRPr="00C56FEA" w:rsidRDefault="00C56FEA">
      <w:pPr>
        <w:pStyle w:val="Heading2"/>
        <w:rPr>
          <w:color w:val="3465A4"/>
          <w:sz w:val="24"/>
          <w:szCs w:val="24"/>
        </w:rPr>
      </w:pPr>
    </w:p>
    <w:p w14:paraId="2E5C5BBF" w14:textId="00C710DF" w:rsidR="00A37EC2" w:rsidRPr="00C56FEA" w:rsidRDefault="00C56FEA" w:rsidP="00C56FEA">
      <w:pPr>
        <w:pStyle w:val="Heading2"/>
        <w:rPr>
          <w:color w:val="3465A4"/>
          <w:sz w:val="24"/>
          <w:szCs w:val="24"/>
        </w:rPr>
      </w:pPr>
      <w:bookmarkStart w:id="6" w:name="_Toc210846942"/>
      <w:proofErr w:type="gramStart"/>
      <w:r>
        <w:rPr>
          <w:color w:val="2A6099"/>
          <w:sz w:val="24"/>
          <w:szCs w:val="24"/>
          <w:lang w:bidi="ar-SA"/>
        </w:rPr>
        <w:t>I</w:t>
      </w:r>
      <w:r>
        <w:rPr>
          <w:color w:val="2A6099"/>
          <w:sz w:val="24"/>
          <w:szCs w:val="24"/>
          <w:lang w:bidi="ar-SA"/>
        </w:rPr>
        <w:t>n order to</w:t>
      </w:r>
      <w:proofErr w:type="gramEnd"/>
      <w:r>
        <w:rPr>
          <w:color w:val="2A6099"/>
          <w:sz w:val="24"/>
          <w:szCs w:val="24"/>
          <w:lang w:bidi="ar-SA"/>
        </w:rPr>
        <w:t xml:space="preserve"> </w:t>
      </w:r>
      <w:proofErr w:type="spellStart"/>
      <w:r>
        <w:rPr>
          <w:color w:val="2A6099"/>
          <w:sz w:val="24"/>
          <w:szCs w:val="24"/>
          <w:lang w:bidi="ar-SA"/>
        </w:rPr>
        <w:t>fulfill</w:t>
      </w:r>
      <w:proofErr w:type="spellEnd"/>
      <w:r>
        <w:rPr>
          <w:color w:val="2A6099"/>
          <w:sz w:val="24"/>
          <w:szCs w:val="24"/>
          <w:lang w:bidi="ar-SA"/>
        </w:rPr>
        <w:t xml:space="preserve"> an adequate risk assessment</w:t>
      </w:r>
      <w:r>
        <w:rPr>
          <w:color w:val="2A6099"/>
          <w:sz w:val="24"/>
          <w:szCs w:val="24"/>
          <w:lang w:bidi="ar-SA"/>
        </w:rPr>
        <w:t xml:space="preserve">, </w:t>
      </w:r>
      <w:r w:rsidR="00000000">
        <w:rPr>
          <w:color w:val="3465A4"/>
          <w:sz w:val="24"/>
          <w:szCs w:val="24"/>
        </w:rPr>
        <w:t>PLEASE ASK THE APPLICANT TO PROVIDE:</w:t>
      </w:r>
      <w:bookmarkEnd w:id="6"/>
    </w:p>
    <w:p w14:paraId="60FDA404" w14:textId="77777777" w:rsidR="00C56FEA" w:rsidRDefault="00C56FEA">
      <w:pPr>
        <w:rPr>
          <w:rFonts w:hint="eastAsia"/>
        </w:rPr>
      </w:pPr>
    </w:p>
    <w:p w14:paraId="283886CE" w14:textId="77777777" w:rsidR="00A37EC2" w:rsidRDefault="00000000">
      <w:pPr>
        <w:numPr>
          <w:ilvl w:val="0"/>
          <w:numId w:val="7"/>
        </w:numPr>
        <w:rPr>
          <w:rFonts w:hint="eastAsia"/>
          <w:color w:val="000000"/>
          <w:sz w:val="22"/>
          <w:szCs w:val="22"/>
        </w:rPr>
      </w:pPr>
      <w:r>
        <w:rPr>
          <w:rFonts w:cs="Arial"/>
          <w:color w:val="000000"/>
          <w:sz w:val="22"/>
          <w:szCs w:val="22"/>
        </w:rPr>
        <w:t xml:space="preserve">Public ICNIRP compliance zone diagrams and a VALID declaration. </w:t>
      </w:r>
      <w:r>
        <w:rPr>
          <w:rFonts w:cs="Arial"/>
          <w:b/>
          <w:bCs/>
          <w:color w:val="000000"/>
          <w:sz w:val="22"/>
          <w:szCs w:val="22"/>
        </w:rPr>
        <w:t>The declaration of compliance is not signed</w:t>
      </w:r>
    </w:p>
    <w:p w14:paraId="3CD6787E" w14:textId="3371DF1E" w:rsidR="00A37EC2" w:rsidRPr="00C56FEA" w:rsidRDefault="00000000" w:rsidP="00C56FEA">
      <w:pPr>
        <w:numPr>
          <w:ilvl w:val="0"/>
          <w:numId w:val="7"/>
        </w:numPr>
        <w:rPr>
          <w:rFonts w:ascii="Calibri" w:hAnsi="Calibri" w:hint="eastAsia"/>
          <w:color w:val="000000"/>
          <w:sz w:val="22"/>
          <w:szCs w:val="22"/>
        </w:rPr>
      </w:pPr>
      <w:r>
        <w:rPr>
          <w:rFonts w:cs="Arial"/>
          <w:color w:val="000000"/>
          <w:sz w:val="22"/>
          <w:szCs w:val="22"/>
        </w:rPr>
        <w:t xml:space="preserve">A full dataset for the installation. See Appendix 2.6 </w:t>
      </w:r>
      <w:hyperlink r:id="rId6">
        <w:r>
          <w:rPr>
            <w:rStyle w:val="Hyperlink"/>
            <w:rFonts w:cs="Arial"/>
            <w:color w:val="000000"/>
            <w:sz w:val="22"/>
            <w:szCs w:val="22"/>
          </w:rPr>
          <w:t>https://safetechinternational.org/wp-content/uploads/2023/09/EECCsubmission12-9-2023-info-version.pdf</w:t>
        </w:r>
      </w:hyperlink>
    </w:p>
    <w:p w14:paraId="0AD940E2" w14:textId="77777777" w:rsidR="00A37EC2" w:rsidRDefault="00000000">
      <w:pPr>
        <w:numPr>
          <w:ilvl w:val="0"/>
          <w:numId w:val="7"/>
        </w:numPr>
        <w:rPr>
          <w:rFonts w:hint="eastAsia"/>
          <w:sz w:val="22"/>
          <w:szCs w:val="22"/>
        </w:rPr>
      </w:pPr>
      <w:r>
        <w:rPr>
          <w:rFonts w:cs="Arial"/>
          <w:color w:val="000000"/>
          <w:sz w:val="22"/>
          <w:szCs w:val="22"/>
        </w:rPr>
        <w:t xml:space="preserve">Calculations of the </w:t>
      </w:r>
      <w:r w:rsidRPr="00C56FEA">
        <w:rPr>
          <w:rFonts w:cs="Arial"/>
          <w:b/>
          <w:bCs/>
          <w:color w:val="000000"/>
          <w:sz w:val="22"/>
          <w:szCs w:val="22"/>
        </w:rPr>
        <w:t>auditory/sensory</w:t>
      </w:r>
      <w:r>
        <w:rPr>
          <w:rFonts w:cs="Arial"/>
          <w:color w:val="000000"/>
          <w:sz w:val="22"/>
          <w:szCs w:val="22"/>
        </w:rPr>
        <w:t xml:space="preserve"> exposure limit with clear evidence that this installation will not breach this exposure limit.  (1999/519/EC Table 1, footnote 8) </w:t>
      </w:r>
    </w:p>
    <w:p w14:paraId="4B9AE00A" w14:textId="77777777" w:rsidR="00A37EC2" w:rsidRDefault="00000000">
      <w:pPr>
        <w:pStyle w:val="Standard"/>
        <w:numPr>
          <w:ilvl w:val="0"/>
          <w:numId w:val="7"/>
        </w:numPr>
        <w:rPr>
          <w:rFonts w:ascii="Amiri" w:hAnsi="Amiri" w:hint="eastAsia"/>
          <w:color w:val="000000"/>
          <w:sz w:val="22"/>
          <w:szCs w:val="22"/>
        </w:rPr>
      </w:pPr>
      <w:r>
        <w:rPr>
          <w:rFonts w:ascii="Amiri" w:hAnsi="Amiri" w:cs="Arial"/>
          <w:b/>
          <w:bCs/>
          <w:color w:val="000000"/>
          <w:sz w:val="22"/>
          <w:szCs w:val="22"/>
        </w:rPr>
        <w:t>Cumulative exposure assessments for householders with domestic wireless devices within a 100m location</w:t>
      </w:r>
      <w:r>
        <w:rPr>
          <w:rFonts w:ascii="Amiri" w:hAnsi="Amiri" w:cs="Arial"/>
          <w:color w:val="000000"/>
          <w:sz w:val="22"/>
          <w:szCs w:val="22"/>
        </w:rPr>
        <w:t>.  An ISO standards ‘</w:t>
      </w:r>
      <w:proofErr w:type="spellStart"/>
      <w:r>
        <w:rPr>
          <w:rFonts w:ascii="Amiri" w:hAnsi="Amiri" w:cs="Arial"/>
          <w:color w:val="000000"/>
          <w:sz w:val="22"/>
          <w:szCs w:val="22"/>
        </w:rPr>
        <w:t>non compliance</w:t>
      </w:r>
      <w:proofErr w:type="spellEnd"/>
      <w:r>
        <w:rPr>
          <w:rFonts w:ascii="Amiri" w:hAnsi="Amiri" w:cs="Arial"/>
          <w:color w:val="000000"/>
          <w:sz w:val="22"/>
          <w:szCs w:val="22"/>
        </w:rPr>
        <w:t xml:space="preserve"> report’ could be issued to the </w:t>
      </w:r>
      <w:proofErr w:type="gramStart"/>
      <w:r>
        <w:rPr>
          <w:rFonts w:ascii="Amiri" w:hAnsi="Amiri" w:cs="Arial"/>
          <w:color w:val="000000"/>
          <w:sz w:val="22"/>
          <w:szCs w:val="22"/>
        </w:rPr>
        <w:t>applicant  with</w:t>
      </w:r>
      <w:proofErr w:type="gramEnd"/>
      <w:r>
        <w:rPr>
          <w:rFonts w:ascii="Amiri" w:hAnsi="Amiri" w:cs="Arial"/>
          <w:color w:val="000000"/>
          <w:sz w:val="22"/>
          <w:szCs w:val="22"/>
        </w:rPr>
        <w:t xml:space="preserve"> the research in the evidence section below. The applicant has obligations under their ISO standards accreditation to provide a response to such a report.</w:t>
      </w:r>
    </w:p>
    <w:p w14:paraId="0F91B37B" w14:textId="77777777" w:rsidR="00A37EC2" w:rsidRDefault="00000000">
      <w:pPr>
        <w:pStyle w:val="Standard"/>
        <w:numPr>
          <w:ilvl w:val="0"/>
          <w:numId w:val="7"/>
        </w:numPr>
        <w:rPr>
          <w:rFonts w:ascii="Amiri" w:hAnsi="Amiri" w:hint="eastAsia"/>
          <w:sz w:val="22"/>
          <w:szCs w:val="22"/>
        </w:rPr>
      </w:pPr>
      <w:r>
        <w:rPr>
          <w:rFonts w:ascii="Amiri" w:hAnsi="Amiri" w:cs="Arial"/>
          <w:color w:val="000000"/>
          <w:sz w:val="22"/>
          <w:szCs w:val="22"/>
        </w:rPr>
        <w:t>Estimated energy consumption to include the whole lifecycle of manufacture.</w:t>
      </w:r>
    </w:p>
    <w:p w14:paraId="639F32F9" w14:textId="77777777" w:rsidR="00A37EC2" w:rsidRDefault="00A37EC2">
      <w:pPr>
        <w:pStyle w:val="Standard"/>
        <w:rPr>
          <w:rFonts w:ascii="Amiri" w:eastAsia="Microsoft YaHei" w:hAnsi="Amiri" w:cs="Lucida Sans" w:hint="eastAsia"/>
          <w:b/>
          <w:bCs/>
          <w:color w:val="2A6099"/>
        </w:rPr>
      </w:pPr>
    </w:p>
    <w:p w14:paraId="7FCE52BD" w14:textId="52C6A42D" w:rsidR="00A37EC2" w:rsidRPr="00C56FEA" w:rsidRDefault="00000000" w:rsidP="00C56FEA">
      <w:pPr>
        <w:pStyle w:val="Heading2"/>
        <w:rPr>
          <w:rFonts w:hint="eastAsia"/>
          <w:color w:val="3465A4"/>
          <w:sz w:val="24"/>
          <w:szCs w:val="24"/>
        </w:rPr>
      </w:pPr>
      <w:bookmarkStart w:id="7" w:name="_Toc210846943"/>
      <w:r>
        <w:rPr>
          <w:rFonts w:cs="Arial"/>
          <w:color w:val="3465A4"/>
          <w:sz w:val="24"/>
          <w:szCs w:val="24"/>
        </w:rPr>
        <w:t>PLEASE ALSO CONSIDER THIS CONTEXT:</w:t>
      </w:r>
      <w:bookmarkEnd w:id="7"/>
    </w:p>
    <w:p w14:paraId="29491BF7" w14:textId="77777777" w:rsidR="00A37EC2" w:rsidRDefault="00000000">
      <w:pPr>
        <w:numPr>
          <w:ilvl w:val="0"/>
          <w:numId w:val="5"/>
        </w:numPr>
        <w:tabs>
          <w:tab w:val="clear" w:pos="720"/>
          <w:tab w:val="left" w:pos="1440"/>
        </w:tabs>
        <w:rPr>
          <w:rFonts w:hint="eastAsia"/>
        </w:rPr>
      </w:pPr>
      <w:r>
        <w:rPr>
          <w:rFonts w:cs="Arial"/>
          <w:color w:val="000000"/>
          <w:sz w:val="22"/>
          <w:szCs w:val="22"/>
        </w:rPr>
        <w:t xml:space="preserve">ICNIRP itself does not guarantee the self-certified certificates. </w:t>
      </w:r>
      <w:r>
        <w:rPr>
          <w:color w:val="000000"/>
          <w:sz w:val="22"/>
          <w:szCs w:val="22"/>
        </w:rPr>
        <w:t>“</w:t>
      </w:r>
      <w:r>
        <w:rPr>
          <w:i/>
          <w:iCs/>
          <w:color w:val="000000"/>
          <w:sz w:val="22"/>
          <w:szCs w:val="22"/>
        </w:rPr>
        <w:t xml:space="preserve">We wish to clarify that </w:t>
      </w:r>
      <w:r>
        <w:rPr>
          <w:b/>
          <w:bCs/>
          <w:i/>
          <w:iCs/>
          <w:color w:val="000000"/>
          <w:sz w:val="22"/>
          <w:szCs w:val="22"/>
        </w:rPr>
        <w:t>ICNIRP does not issue certificates to verify the safety of any device or installation</w:t>
      </w:r>
      <w:r>
        <w:rPr>
          <w:i/>
          <w:iCs/>
          <w:color w:val="000000"/>
          <w:sz w:val="22"/>
          <w:szCs w:val="22"/>
        </w:rPr>
        <w:t xml:space="preserve">. Any such certificates and declarations are issued </w:t>
      </w:r>
      <w:r>
        <w:rPr>
          <w:b/>
          <w:bCs/>
          <w:i/>
          <w:iCs/>
          <w:color w:val="000000"/>
          <w:sz w:val="22"/>
          <w:szCs w:val="22"/>
        </w:rPr>
        <w:t>independently of ICNIRP</w:t>
      </w:r>
      <w:r>
        <w:rPr>
          <w:i/>
          <w:iCs/>
          <w:color w:val="000000"/>
          <w:sz w:val="22"/>
          <w:szCs w:val="22"/>
        </w:rPr>
        <w:t xml:space="preserve">, and ICNIRP does not evaluate their accuracy.   ICNIRP's mission is to provide guidance on non-ionizing radiation protection. Its advice is published in the form of ICNIRP guidelines to limit exposure to non-ionizing radiation; in statements, reviews and notes; and through information published on the </w:t>
      </w:r>
      <w:hyperlink r:id="rId7">
        <w:r>
          <w:rPr>
            <w:rStyle w:val="Hyperlink"/>
            <w:i/>
            <w:iCs/>
            <w:color w:val="000000"/>
            <w:sz w:val="22"/>
            <w:szCs w:val="22"/>
            <w:u w:val="none"/>
            <w:lang w:bidi="ar-SA"/>
          </w:rPr>
          <w:t>ICNIRP website</w:t>
        </w:r>
      </w:hyperlink>
      <w:r>
        <w:rPr>
          <w:i/>
          <w:iCs/>
          <w:color w:val="000000"/>
          <w:sz w:val="22"/>
          <w:szCs w:val="22"/>
        </w:rPr>
        <w:t>.</w:t>
      </w:r>
      <w:r>
        <w:rPr>
          <w:color w:val="000000"/>
          <w:sz w:val="22"/>
          <w:szCs w:val="22"/>
        </w:rPr>
        <w:t>'</w:t>
      </w:r>
    </w:p>
    <w:p w14:paraId="74C29D95" w14:textId="77777777" w:rsidR="00A37EC2" w:rsidRDefault="00000000">
      <w:pPr>
        <w:pStyle w:val="standard0"/>
        <w:numPr>
          <w:ilvl w:val="0"/>
          <w:numId w:val="8"/>
        </w:numPr>
        <w:spacing w:before="0" w:after="0"/>
        <w:rPr>
          <w:rFonts w:hint="eastAsia"/>
          <w:sz w:val="22"/>
          <w:szCs w:val="22"/>
        </w:rPr>
      </w:pPr>
      <w:r>
        <w:rPr>
          <w:rFonts w:cs="Arial"/>
          <w:b/>
          <w:bCs/>
          <w:color w:val="000000"/>
          <w:sz w:val="22"/>
          <w:szCs w:val="22"/>
        </w:rPr>
        <w:t xml:space="preserve">INSURANCE: </w:t>
      </w:r>
      <w:r>
        <w:rPr>
          <w:rFonts w:cs="Arial"/>
          <w:color w:val="000000"/>
          <w:sz w:val="22"/>
          <w:szCs w:val="22"/>
        </w:rPr>
        <w:t>Insurance companies will not insure against harm caused by EMF's. yet it is the Local Council is liable.  Does the Council have a fund to cover future claims of damages for harm?</w:t>
      </w:r>
    </w:p>
    <w:p w14:paraId="69244893" w14:textId="77777777" w:rsidR="00A37EC2" w:rsidRDefault="00000000">
      <w:pPr>
        <w:pStyle w:val="Standard"/>
        <w:numPr>
          <w:ilvl w:val="0"/>
          <w:numId w:val="9"/>
        </w:numPr>
        <w:rPr>
          <w:rFonts w:ascii="Amiri" w:hAnsi="Amiri" w:hint="eastAsia"/>
          <w:sz w:val="22"/>
          <w:szCs w:val="22"/>
        </w:rPr>
      </w:pPr>
      <w:r>
        <w:rPr>
          <w:rFonts w:ascii="Amiri" w:hAnsi="Amiri" w:cs="Arial"/>
          <w:b/>
          <w:bCs/>
          <w:color w:val="000000"/>
          <w:sz w:val="22"/>
          <w:szCs w:val="22"/>
        </w:rPr>
        <w:t xml:space="preserve">SMART CONTROL:  </w:t>
      </w:r>
      <w:r>
        <w:rPr>
          <w:rFonts w:ascii="Amiri" w:hAnsi="Amiri" w:cs="Arial"/>
          <w:color w:val="000000"/>
          <w:sz w:val="22"/>
          <w:szCs w:val="22"/>
        </w:rPr>
        <w:t xml:space="preserve">in the wrong hands, the proliferation of ‘smart’ surveillance networks would pose a serious threat to our freedom and any democratic way of life.  5-6G networks are the </w:t>
      </w:r>
      <w:r>
        <w:rPr>
          <w:rFonts w:ascii="Amiri" w:hAnsi="Amiri" w:cs="Arial"/>
          <w:color w:val="000000"/>
          <w:sz w:val="22"/>
          <w:szCs w:val="22"/>
        </w:rPr>
        <w:tab/>
        <w:t>backbone needed to operate such systems.</w:t>
      </w:r>
    </w:p>
    <w:p w14:paraId="30011B86" w14:textId="77777777" w:rsidR="00A37EC2" w:rsidRDefault="00A37EC2">
      <w:pPr>
        <w:pStyle w:val="Standard"/>
        <w:rPr>
          <w:rFonts w:cs="Arial"/>
          <w:color w:val="000000"/>
        </w:rPr>
      </w:pPr>
    </w:p>
    <w:p w14:paraId="3589C1A4" w14:textId="77777777" w:rsidR="00A37EC2" w:rsidRDefault="00000000">
      <w:pPr>
        <w:pStyle w:val="Heading2"/>
        <w:rPr>
          <w:rFonts w:cs="Arial" w:hint="eastAsia"/>
          <w:color w:val="3465A4"/>
          <w:sz w:val="24"/>
          <w:szCs w:val="24"/>
        </w:rPr>
      </w:pPr>
      <w:bookmarkStart w:id="8" w:name="_Toc210846944"/>
      <w:r>
        <w:rPr>
          <w:rFonts w:cs="Arial"/>
          <w:color w:val="3465A4"/>
          <w:sz w:val="24"/>
          <w:szCs w:val="24"/>
        </w:rPr>
        <w:t>CONCLUSION</w:t>
      </w:r>
      <w:bookmarkEnd w:id="8"/>
    </w:p>
    <w:p w14:paraId="00D681E1" w14:textId="764C3762" w:rsidR="00A37EC2" w:rsidRDefault="00000000">
      <w:pPr>
        <w:pStyle w:val="standard0"/>
        <w:spacing w:before="0" w:after="0"/>
        <w:rPr>
          <w:rFonts w:hint="eastAsia"/>
          <w:sz w:val="22"/>
          <w:szCs w:val="22"/>
        </w:rPr>
      </w:pPr>
      <w:r>
        <w:rPr>
          <w:rFonts w:cs="Arial"/>
          <w:color w:val="000000"/>
          <w:sz w:val="22"/>
          <w:szCs w:val="22"/>
        </w:rPr>
        <w:t xml:space="preserve">Thank you for considering all these points in full and be mindful to refuse the application on the grounds of </w:t>
      </w:r>
      <w:proofErr w:type="gramStart"/>
      <w:r>
        <w:rPr>
          <w:rFonts w:cs="Arial"/>
          <w:color w:val="000000"/>
          <w:sz w:val="22"/>
          <w:szCs w:val="22"/>
        </w:rPr>
        <w:t>it</w:t>
      </w:r>
      <w:proofErr w:type="gramEnd"/>
      <w:r>
        <w:rPr>
          <w:rFonts w:cs="Arial"/>
          <w:color w:val="000000"/>
          <w:sz w:val="22"/>
          <w:szCs w:val="22"/>
        </w:rPr>
        <w:t xml:space="preserve"> height and bulk causing significant harm to the visual amenity, the justification of need for not being fully evidences AND there is not enough evidence of safety to proceed.  Please delay the application until you have received clarity </w:t>
      </w:r>
      <w:r>
        <w:rPr>
          <w:rFonts w:cs="Arial"/>
          <w:color w:val="000000"/>
          <w:sz w:val="22"/>
          <w:szCs w:val="22"/>
        </w:rPr>
        <w:lastRenderedPageBreak/>
        <w:t>from the government about the conflicts between policy 122 and your role in risk reconciliation as a competent authority under the EECC.</w:t>
      </w:r>
    </w:p>
    <w:p w14:paraId="40414B49" w14:textId="77777777" w:rsidR="00A37EC2" w:rsidRDefault="00000000">
      <w:pPr>
        <w:pStyle w:val="standard0"/>
        <w:rPr>
          <w:rFonts w:hint="eastAsia"/>
          <w:sz w:val="22"/>
          <w:szCs w:val="22"/>
        </w:rPr>
      </w:pPr>
      <w:r>
        <w:rPr>
          <w:rFonts w:cs="Arial"/>
          <w:color w:val="000000"/>
          <w:sz w:val="22"/>
          <w:szCs w:val="22"/>
        </w:rPr>
        <w:t>Yours sincerely,</w:t>
      </w:r>
    </w:p>
    <w:p w14:paraId="79B4C172" w14:textId="569BD800" w:rsidR="00A37EC2" w:rsidRPr="00C56FEA" w:rsidRDefault="00C56FEA">
      <w:pPr>
        <w:pStyle w:val="standard0"/>
        <w:rPr>
          <w:rFonts w:hint="eastAsia"/>
          <w:color w:val="FF0000"/>
        </w:rPr>
      </w:pPr>
      <w:r w:rsidRPr="00C56FEA">
        <w:rPr>
          <w:rFonts w:cs="Arial"/>
          <w:color w:val="FF0000"/>
          <w:sz w:val="22"/>
          <w:szCs w:val="22"/>
        </w:rPr>
        <w:t>NAME, ADDRESS</w:t>
      </w:r>
    </w:p>
    <w:p w14:paraId="266E3C5C" w14:textId="77777777" w:rsidR="00A37EC2" w:rsidRDefault="00A37EC2">
      <w:pPr>
        <w:pStyle w:val="standard0"/>
        <w:tabs>
          <w:tab w:val="left" w:pos="2000"/>
        </w:tabs>
        <w:spacing w:before="0" w:after="0"/>
        <w:rPr>
          <w:rFonts w:cs="Arial" w:hint="eastAsia"/>
          <w:color w:val="000000"/>
          <w:shd w:val="clear" w:color="auto" w:fill="FFFFFF"/>
        </w:rPr>
      </w:pPr>
    </w:p>
    <w:p w14:paraId="3E5341D8" w14:textId="77777777" w:rsidR="00C56FEA" w:rsidRPr="00C56FEA" w:rsidRDefault="00C56FEA">
      <w:pPr>
        <w:pStyle w:val="Heading2"/>
        <w:rPr>
          <w:color w:val="3465A4"/>
          <w:sz w:val="24"/>
          <w:szCs w:val="24"/>
        </w:rPr>
      </w:pPr>
    </w:p>
    <w:p w14:paraId="6E0E6F42" w14:textId="64F5A1F6" w:rsidR="00A37EC2" w:rsidRPr="00C56FEA" w:rsidRDefault="00000000">
      <w:pPr>
        <w:pStyle w:val="Heading2"/>
        <w:rPr>
          <w:rFonts w:hint="eastAsia"/>
          <w:color w:val="3465A4"/>
        </w:rPr>
      </w:pPr>
      <w:bookmarkStart w:id="9" w:name="_Toc210846945"/>
      <w:r w:rsidRPr="00C56FEA">
        <w:rPr>
          <w:rFonts w:cs="Arial"/>
          <w:color w:val="3465A4"/>
        </w:rPr>
        <w:t>APPENDIX</w:t>
      </w:r>
      <w:bookmarkEnd w:id="9"/>
    </w:p>
    <w:p w14:paraId="3ACF2F03" w14:textId="7E374F95" w:rsidR="00A37EC2" w:rsidRDefault="00000000">
      <w:pPr>
        <w:pStyle w:val="Heading2"/>
        <w:rPr>
          <w:rFonts w:hint="eastAsia"/>
          <w:color w:val="3465A4"/>
          <w:sz w:val="24"/>
          <w:szCs w:val="24"/>
        </w:rPr>
      </w:pPr>
      <w:bookmarkStart w:id="10" w:name="_Toc210846946"/>
      <w:r>
        <w:rPr>
          <w:color w:val="3465A4"/>
          <w:sz w:val="24"/>
          <w:szCs w:val="24"/>
        </w:rPr>
        <w:t>A1 LEGAL BACKGROUND</w:t>
      </w:r>
      <w:bookmarkEnd w:id="10"/>
    </w:p>
    <w:p w14:paraId="394B5FA1" w14:textId="2AF4FAF8" w:rsidR="00A37EC2" w:rsidRDefault="00000000">
      <w:pPr>
        <w:pStyle w:val="Heading3"/>
        <w:rPr>
          <w:rFonts w:hint="eastAsia"/>
          <w:sz w:val="24"/>
          <w:szCs w:val="24"/>
        </w:rPr>
      </w:pPr>
      <w:bookmarkStart w:id="11" w:name="_Toc210846947"/>
      <w:proofErr w:type="gramStart"/>
      <w:r>
        <w:rPr>
          <w:color w:val="2A6099"/>
          <w:sz w:val="24"/>
          <w:szCs w:val="24"/>
        </w:rPr>
        <w:t>A1.1  GPDO</w:t>
      </w:r>
      <w:bookmarkEnd w:id="11"/>
      <w:proofErr w:type="gramEnd"/>
    </w:p>
    <w:p w14:paraId="1BA07FA7" w14:textId="47192920" w:rsidR="00A37EC2" w:rsidRDefault="00000000">
      <w:pPr>
        <w:rPr>
          <w:rFonts w:hint="eastAsia"/>
        </w:rPr>
      </w:pPr>
      <w:r>
        <w:rPr>
          <w:b/>
          <w:bCs/>
          <w:color w:val="0B0C0C"/>
          <w:sz w:val="22"/>
          <w:szCs w:val="22"/>
        </w:rPr>
        <w:t>New ground-based masts</w:t>
      </w:r>
    </w:p>
    <w:p w14:paraId="774DED2D" w14:textId="77777777" w:rsidR="00A37EC2"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sz w:val="22"/>
          <w:szCs w:val="22"/>
        </w:rPr>
      </w:pPr>
      <w:r>
        <w:rPr>
          <w:rFonts w:cs="Arial"/>
          <w:i/>
          <w:iCs/>
          <w:sz w:val="22"/>
          <w:szCs w:val="22"/>
        </w:rPr>
        <w:t>GPDO: "The Council should be aware of their legal obligations that Prior Approval is definitely required as confirmed by the ministerial statement issued 7 March 2022 by Julia Lopez MP, Minister of State for Media, Data, and Digital Infrastructure and the Rt Hon Stuart Andrew MP, Minister for State for Housing. They stated that all new ground-based masts will still require the prior approval of the local planning authority. Prior approval still requires full public consultation.</w:t>
      </w:r>
    </w:p>
    <w:p w14:paraId="0390CA71" w14:textId="77777777" w:rsidR="00A37EC2" w:rsidRDefault="00A37E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hint="eastAsia"/>
          <w:i/>
          <w:iCs/>
          <w:sz w:val="22"/>
          <w:szCs w:val="22"/>
        </w:rPr>
      </w:pPr>
    </w:p>
    <w:p w14:paraId="64B30486" w14:textId="77777777" w:rsidR="00A37EC2"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sz w:val="22"/>
          <w:szCs w:val="22"/>
        </w:rPr>
      </w:pPr>
      <w:r>
        <w:rPr>
          <w:rFonts w:cs="Arial"/>
          <w:i/>
          <w:iCs/>
          <w:sz w:val="22"/>
          <w:szCs w:val="22"/>
        </w:rPr>
        <w:t>The requirement for Prior Approval is further confirmed as a legal requirement of the statutory General Permitted Development Order. The Explanatory Memorandum to the GPDO states:</w:t>
      </w:r>
    </w:p>
    <w:p w14:paraId="42C180B7" w14:textId="77777777" w:rsidR="00A37EC2" w:rsidRDefault="00A37E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hint="eastAsia"/>
          <w:i/>
          <w:iCs/>
          <w:sz w:val="22"/>
          <w:szCs w:val="22"/>
        </w:rPr>
      </w:pPr>
    </w:p>
    <w:p w14:paraId="1473C5DF" w14:textId="77777777" w:rsidR="00A37EC2"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sz w:val="22"/>
          <w:szCs w:val="22"/>
        </w:rPr>
      </w:pPr>
      <w:r>
        <w:rPr>
          <w:rFonts w:cs="Arial"/>
          <w:i/>
          <w:iCs/>
          <w:sz w:val="22"/>
          <w:szCs w:val="22"/>
        </w:rPr>
        <w:t xml:space="preserve">New ground-based masts </w:t>
      </w:r>
    </w:p>
    <w:p w14:paraId="387ACA3D" w14:textId="77777777" w:rsidR="00A37EC2" w:rsidRDefault="00000000">
      <w:pPr>
        <w:pStyle w:val="FootnoteText"/>
        <w:rPr>
          <w:rFonts w:hint="eastAsia"/>
          <w:sz w:val="22"/>
          <w:szCs w:val="22"/>
        </w:rPr>
      </w:pPr>
      <w:r>
        <w:rPr>
          <w:rFonts w:cs="Arial"/>
          <w:i/>
          <w:iCs/>
          <w:sz w:val="22"/>
          <w:szCs w:val="22"/>
        </w:rPr>
        <w:t xml:space="preserve"> 7.16 Article 3(2)(a) of this Order alters the height limits for the deployment of new </w:t>
      </w:r>
      <w:proofErr w:type="gramStart"/>
      <w:r>
        <w:rPr>
          <w:rFonts w:cs="Arial"/>
          <w:i/>
          <w:iCs/>
          <w:sz w:val="22"/>
          <w:szCs w:val="22"/>
        </w:rPr>
        <w:t>ground based</w:t>
      </w:r>
      <w:proofErr w:type="gramEnd"/>
      <w:r>
        <w:rPr>
          <w:rFonts w:cs="Arial"/>
          <w:i/>
          <w:iCs/>
          <w:sz w:val="22"/>
          <w:szCs w:val="22"/>
        </w:rPr>
        <w:t xml:space="preserve"> masts through permitted development rights. </w:t>
      </w:r>
      <w:r>
        <w:rPr>
          <w:rFonts w:cs="Arial"/>
          <w:i/>
          <w:iCs/>
          <w:color w:val="4472C4"/>
          <w:sz w:val="22"/>
          <w:szCs w:val="22"/>
        </w:rPr>
        <w:t>These changes permit the installation of new ground-based masts of up to 30 metres in height on unprotected land, and up to 25 metres on Article 2(3) land. In both cases Code Operators would need prior approval from the local planning authority."</w:t>
      </w:r>
    </w:p>
    <w:p w14:paraId="59AD51E9" w14:textId="77777777" w:rsidR="00A37EC2" w:rsidRDefault="00A37EC2">
      <w:pPr>
        <w:rPr>
          <w:rFonts w:cs="Arial" w:hint="eastAsia"/>
          <w:color w:val="000000"/>
        </w:rPr>
      </w:pPr>
    </w:p>
    <w:p w14:paraId="692C49FC" w14:textId="77777777" w:rsidR="00A37EC2" w:rsidRDefault="00000000">
      <w:pPr>
        <w:pStyle w:val="Heading3"/>
        <w:rPr>
          <w:rFonts w:hint="eastAsia"/>
          <w:color w:val="2A6099"/>
          <w:sz w:val="24"/>
          <w:szCs w:val="24"/>
        </w:rPr>
      </w:pPr>
      <w:bookmarkStart w:id="12" w:name="_Toc210846948"/>
      <w:r>
        <w:rPr>
          <w:color w:val="2A6099"/>
          <w:sz w:val="24"/>
          <w:szCs w:val="24"/>
        </w:rPr>
        <w:t>A1.2 PIPER - OBLIGATION TO WEIGH RISK FOR LABILITY PURPOSES</w:t>
      </w:r>
      <w:bookmarkEnd w:id="12"/>
    </w:p>
    <w:p w14:paraId="631F296D" w14:textId="77777777" w:rsidR="00A37EC2" w:rsidRDefault="00A37EC2">
      <w:pPr>
        <w:rPr>
          <w:rFonts w:cs="Arial" w:hint="eastAsia"/>
        </w:rPr>
      </w:pPr>
    </w:p>
    <w:p w14:paraId="3D85357B" w14:textId="77777777" w:rsidR="00A37EC2" w:rsidRDefault="00000000">
      <w:pPr>
        <w:rPr>
          <w:rFonts w:hint="eastAsia"/>
        </w:rPr>
      </w:pPr>
      <w:r>
        <w:rPr>
          <w:rFonts w:cs="Arial"/>
          <w:color w:val="000000"/>
          <w:sz w:val="22"/>
          <w:szCs w:val="22"/>
        </w:rPr>
        <w:t xml:space="preserve">DLA PIPER – Public Health England (UKHSA) </w:t>
      </w:r>
      <w:proofErr w:type="gramStart"/>
      <w:r>
        <w:rPr>
          <w:rFonts w:cs="Arial"/>
          <w:color w:val="000000"/>
          <w:sz w:val="22"/>
          <w:szCs w:val="22"/>
        </w:rPr>
        <w:t>solicitors</w:t>
      </w:r>
      <w:proofErr w:type="gramEnd"/>
      <w:r>
        <w:rPr>
          <w:rFonts w:cs="Arial"/>
          <w:color w:val="000000"/>
          <w:sz w:val="22"/>
          <w:szCs w:val="22"/>
        </w:rPr>
        <w:t xml:space="preserve"> letter, August 2019 </w:t>
      </w:r>
    </w:p>
    <w:p w14:paraId="3A618554" w14:textId="77777777" w:rsidR="00A37EC2" w:rsidRDefault="00000000">
      <w:pPr>
        <w:rPr>
          <w:rFonts w:hint="eastAsia"/>
        </w:rPr>
      </w:pPr>
      <w:r>
        <w:rPr>
          <w:rFonts w:cs="Arial"/>
          <w:i/>
          <w:iCs/>
          <w:color w:val="000000"/>
          <w:sz w:val="22"/>
          <w:szCs w:val="22"/>
        </w:rPr>
        <w:t>“</w:t>
      </w:r>
      <w:r>
        <w:rPr>
          <w:rFonts w:cs="Arial"/>
          <w:b/>
          <w:bCs/>
          <w:i/>
          <w:iCs/>
          <w:color w:val="000000"/>
          <w:sz w:val="22"/>
          <w:szCs w:val="22"/>
        </w:rPr>
        <w:t xml:space="preserve">Guidance is not maintained and revised by PHE for the explicit purpose of </w:t>
      </w:r>
      <w:proofErr w:type="spellStart"/>
      <w:r>
        <w:rPr>
          <w:rFonts w:cs="Arial"/>
          <w:b/>
          <w:bCs/>
          <w:i/>
          <w:iCs/>
          <w:color w:val="000000"/>
          <w:sz w:val="22"/>
          <w:szCs w:val="22"/>
        </w:rPr>
        <w:t>any body</w:t>
      </w:r>
      <w:proofErr w:type="spellEnd"/>
      <w:r>
        <w:rPr>
          <w:rFonts w:cs="Arial"/>
          <w:b/>
          <w:bCs/>
          <w:i/>
          <w:iCs/>
          <w:color w:val="000000"/>
          <w:sz w:val="22"/>
          <w:szCs w:val="22"/>
        </w:rPr>
        <w:t xml:space="preserve"> undertaking any other statutory function</w:t>
      </w:r>
      <w:r>
        <w:rPr>
          <w:rFonts w:cs="Arial"/>
          <w:i/>
          <w:iCs/>
          <w:color w:val="000000"/>
          <w:sz w:val="22"/>
          <w:szCs w:val="22"/>
        </w:rPr>
        <w:t>. If in any other context regard is had to the</w:t>
      </w:r>
      <w:r>
        <w:rPr>
          <w:rFonts w:cs="Arial"/>
          <w:b/>
          <w:bCs/>
          <w:i/>
          <w:iCs/>
          <w:color w:val="000000"/>
          <w:sz w:val="22"/>
          <w:szCs w:val="22"/>
        </w:rPr>
        <w:t xml:space="preserve"> Guidance that is entirely a matter for the discretion of the relevant body</w:t>
      </w:r>
      <w:r>
        <w:rPr>
          <w:rFonts w:cs="Arial"/>
          <w:i/>
          <w:iCs/>
          <w:color w:val="000000"/>
          <w:sz w:val="22"/>
          <w:szCs w:val="22"/>
        </w:rPr>
        <w:t xml:space="preserve"> and it must determine what weight to place on the Guidance given the clear indication as to the sources from which the advice and recommendations in the Guidance are derived. </w:t>
      </w:r>
      <w:r>
        <w:rPr>
          <w:rFonts w:cs="Arial"/>
          <w:b/>
          <w:bCs/>
          <w:i/>
          <w:iCs/>
          <w:color w:val="000000"/>
          <w:sz w:val="22"/>
          <w:szCs w:val="22"/>
        </w:rPr>
        <w:t xml:space="preserve">Equally, that body must determine what other evidence from ... members of the </w:t>
      </w:r>
      <w:r>
        <w:rPr>
          <w:rStyle w:val="DefaultParagraphFont1"/>
          <w:rFonts w:cs="Arial"/>
          <w:b/>
          <w:bCs/>
          <w:i/>
          <w:iCs/>
          <w:color w:val="000000"/>
          <w:sz w:val="22"/>
          <w:szCs w:val="22"/>
          <w:lang w:bidi="ar-SA"/>
        </w:rPr>
        <w:t>public or interested parties to consider in making any decision”</w:t>
      </w:r>
      <w:r>
        <w:rPr>
          <w:rStyle w:val="DefaultParagraphFont1"/>
          <w:rFonts w:cs="Arial"/>
          <w:i/>
          <w:iCs/>
          <w:color w:val="000000"/>
          <w:sz w:val="22"/>
          <w:szCs w:val="22"/>
          <w:lang w:bidi="ar-SA"/>
        </w:rPr>
        <w:t>.</w:t>
      </w:r>
      <w:r>
        <w:rPr>
          <w:rStyle w:val="DefaultParagraphFont1"/>
          <w:rFonts w:cs="Arial"/>
          <w:color w:val="000000"/>
          <w:sz w:val="22"/>
          <w:szCs w:val="22"/>
          <w:lang w:bidi="ar-SA"/>
        </w:rPr>
        <w:t xml:space="preserve"> Full letter available on request.</w:t>
      </w:r>
    </w:p>
    <w:p w14:paraId="4A44B298" w14:textId="77777777" w:rsidR="00A37EC2" w:rsidRDefault="00A37EC2">
      <w:pPr>
        <w:rPr>
          <w:rFonts w:cs="Arial" w:hint="eastAsia"/>
          <w:color w:val="000000"/>
        </w:rPr>
      </w:pPr>
    </w:p>
    <w:p w14:paraId="48844B35" w14:textId="77777777" w:rsidR="00A37EC2" w:rsidRDefault="00000000">
      <w:pPr>
        <w:pStyle w:val="Heading3"/>
        <w:rPr>
          <w:rFonts w:hint="eastAsia"/>
          <w:color w:val="2A6099"/>
          <w:sz w:val="24"/>
          <w:szCs w:val="24"/>
        </w:rPr>
      </w:pPr>
      <w:bookmarkStart w:id="13" w:name="_Toc210846949"/>
      <w:r>
        <w:rPr>
          <w:color w:val="2A6099"/>
          <w:sz w:val="24"/>
          <w:szCs w:val="24"/>
        </w:rPr>
        <w:t>A1.3 JUDICIAL REVIEW – EECC SUBMISSION</w:t>
      </w:r>
      <w:bookmarkEnd w:id="13"/>
    </w:p>
    <w:p w14:paraId="16460FDE" w14:textId="77777777" w:rsidR="00A37EC2" w:rsidRDefault="00000000">
      <w:pPr>
        <w:tabs>
          <w:tab w:val="left" w:pos="709"/>
        </w:tabs>
        <w:rPr>
          <w:rFonts w:hint="eastAsia"/>
          <w:color w:val="000000"/>
          <w:sz w:val="22"/>
          <w:szCs w:val="22"/>
        </w:rPr>
      </w:pPr>
      <w:r>
        <w:rPr>
          <w:rFonts w:cs="Arial"/>
          <w:b/>
          <w:bCs/>
          <w:color w:val="000000"/>
          <w:sz w:val="22"/>
          <w:szCs w:val="22"/>
        </w:rPr>
        <w:t>A sealed Judicial Review application</w:t>
      </w:r>
      <w:r>
        <w:rPr>
          <w:b/>
          <w:bCs/>
          <w:color w:val="000000"/>
          <w:sz w:val="22"/>
          <w:szCs w:val="22"/>
        </w:rPr>
        <w:t xml:space="preserve"> was filed against the Department of Health and the Department of Levelling Upon December 21</w:t>
      </w:r>
      <w:proofErr w:type="spellStart"/>
      <w:r>
        <w:rPr>
          <w:b/>
          <w:bCs/>
          <w:color w:val="000000"/>
          <w:position w:val="7"/>
          <w:sz w:val="22"/>
          <w:szCs w:val="22"/>
        </w:rPr>
        <w:t>st</w:t>
      </w:r>
      <w:proofErr w:type="spellEnd"/>
      <w:r>
        <w:rPr>
          <w:b/>
          <w:bCs/>
          <w:color w:val="000000"/>
          <w:sz w:val="22"/>
          <w:szCs w:val="22"/>
        </w:rPr>
        <w:t xml:space="preserve"> regarding their joint administrative failures regarding RFR regulation. </w:t>
      </w:r>
      <w:r>
        <w:rPr>
          <w:rFonts w:cs="Arial"/>
          <w:b/>
          <w:bCs/>
          <w:color w:val="0070C0"/>
          <w:sz w:val="22"/>
          <w:szCs w:val="22"/>
        </w:rPr>
        <w:t xml:space="preserve"> </w:t>
      </w:r>
      <w:r>
        <w:rPr>
          <w:rFonts w:cs="Arial"/>
          <w:b/>
          <w:bCs/>
          <w:color w:val="000000"/>
          <w:sz w:val="22"/>
          <w:szCs w:val="22"/>
        </w:rPr>
        <w:t xml:space="preserve">(Case number Z2309835) </w:t>
      </w:r>
    </w:p>
    <w:p w14:paraId="18DB626F" w14:textId="77777777" w:rsidR="00A37EC2" w:rsidRDefault="00A37EC2">
      <w:pPr>
        <w:tabs>
          <w:tab w:val="left" w:pos="709"/>
        </w:tabs>
        <w:rPr>
          <w:rFonts w:hint="eastAsia"/>
          <w:color w:val="000000"/>
          <w:sz w:val="22"/>
          <w:szCs w:val="22"/>
        </w:rPr>
      </w:pPr>
    </w:p>
    <w:p w14:paraId="335C0B4D" w14:textId="77777777" w:rsidR="00A37EC2" w:rsidRDefault="00000000">
      <w:pPr>
        <w:tabs>
          <w:tab w:val="left" w:pos="709"/>
        </w:tabs>
        <w:rPr>
          <w:rFonts w:hint="eastAsia"/>
          <w:color w:val="000000"/>
          <w:sz w:val="22"/>
          <w:szCs w:val="22"/>
        </w:rPr>
      </w:pPr>
      <w:r>
        <w:rPr>
          <w:rFonts w:cs="Arial"/>
          <w:color w:val="000000"/>
          <w:sz w:val="22"/>
          <w:szCs w:val="22"/>
        </w:rPr>
        <w:t xml:space="preserve">The case address the </w:t>
      </w:r>
      <w:proofErr w:type="gramStart"/>
      <w:r>
        <w:rPr>
          <w:color w:val="000000"/>
          <w:sz w:val="22"/>
          <w:szCs w:val="22"/>
        </w:rPr>
        <w:t>government’s  failure</w:t>
      </w:r>
      <w:proofErr w:type="gramEnd"/>
      <w:r>
        <w:rPr>
          <w:color w:val="000000"/>
          <w:sz w:val="22"/>
          <w:szCs w:val="22"/>
        </w:rPr>
        <w:t xml:space="preserve"> to inform local planning authorities that they are the competent authority responsible for risk reconciling health and environmental effects (European Electronics Communications Code EECC Recital 106). The Judicial Review addresses the fact that it is only the local panning authorities who issue general authorisations and thus it is the LPAS who needs to apply precaution and consider recent science as specified in the procedural standard under paragraph 19 of the 1999/519/EC. The LPAs are the ‘member state’ representative who apply EECC Article 45 2h) and the 1999/519/EC </w:t>
      </w:r>
      <w:proofErr w:type="gramStart"/>
      <w:r>
        <w:rPr>
          <w:color w:val="000000"/>
          <w:sz w:val="22"/>
          <w:szCs w:val="22"/>
        </w:rPr>
        <w:t>recommendations,.</w:t>
      </w:r>
      <w:proofErr w:type="gramEnd"/>
      <w:r>
        <w:rPr>
          <w:color w:val="000000"/>
          <w:sz w:val="22"/>
          <w:szCs w:val="22"/>
        </w:rPr>
        <w:t xml:space="preserve"> ICNIRP guidelines are not a standard and even though suggested as an option within the recommendations, they remain a guideline only.</w:t>
      </w:r>
    </w:p>
    <w:p w14:paraId="6D2A4DAE" w14:textId="77777777" w:rsidR="00A37EC2" w:rsidRDefault="00000000">
      <w:pPr>
        <w:tabs>
          <w:tab w:val="left" w:pos="709"/>
        </w:tabs>
        <w:rPr>
          <w:rFonts w:hint="eastAsia"/>
          <w:color w:val="069A2E"/>
          <w:sz w:val="22"/>
          <w:szCs w:val="22"/>
        </w:rPr>
      </w:pPr>
      <w:r>
        <w:rPr>
          <w:rFonts w:cs="Arial"/>
          <w:bCs/>
          <w:color w:val="000000"/>
          <w:sz w:val="22"/>
          <w:szCs w:val="22"/>
        </w:rPr>
        <w:t xml:space="preserve">For a deep analysis please see the </w:t>
      </w:r>
      <w:proofErr w:type="gramStart"/>
      <w:r>
        <w:rPr>
          <w:rFonts w:cs="Arial"/>
          <w:bCs/>
          <w:color w:val="000000"/>
          <w:sz w:val="22"/>
          <w:szCs w:val="22"/>
        </w:rPr>
        <w:t>submission:-</w:t>
      </w:r>
      <w:proofErr w:type="gramEnd"/>
    </w:p>
    <w:p w14:paraId="0AF2FBB5" w14:textId="77777777" w:rsidR="00A37EC2" w:rsidRDefault="00000000">
      <w:pPr>
        <w:tabs>
          <w:tab w:val="left" w:pos="709"/>
        </w:tabs>
        <w:rPr>
          <w:rFonts w:ascii="Calibri" w:hAnsi="Calibri"/>
          <w:sz w:val="22"/>
          <w:szCs w:val="22"/>
        </w:rPr>
      </w:pPr>
      <w:hyperlink r:id="rId8">
        <w:r>
          <w:rPr>
            <w:rStyle w:val="Hyperlink"/>
            <w:rFonts w:ascii="Calibri" w:hAnsi="Calibri"/>
            <w:sz w:val="22"/>
            <w:szCs w:val="22"/>
          </w:rPr>
          <w:t>https://safetechinternational.org/wp-content/uploads/2023/09/EECCsubmission12-9-2023-info-version.pdf</w:t>
        </w:r>
      </w:hyperlink>
    </w:p>
    <w:p w14:paraId="26AF0D05" w14:textId="77777777" w:rsidR="00A37EC2" w:rsidRDefault="00A37EC2">
      <w:pPr>
        <w:pStyle w:val="standard0"/>
        <w:spacing w:before="0" w:after="0"/>
        <w:rPr>
          <w:rFonts w:cs="Arial" w:hint="eastAsia"/>
        </w:rPr>
      </w:pPr>
    </w:p>
    <w:p w14:paraId="2493507C" w14:textId="77777777" w:rsidR="00A37EC2" w:rsidRDefault="00000000">
      <w:pPr>
        <w:rPr>
          <w:rFonts w:hint="eastAsia"/>
        </w:rPr>
      </w:pPr>
      <w:r>
        <w:rPr>
          <w:rFonts w:cs="Arial"/>
          <w:b/>
          <w:bCs/>
          <w:color w:val="000000"/>
          <w:sz w:val="22"/>
          <w:szCs w:val="22"/>
        </w:rPr>
        <w:lastRenderedPageBreak/>
        <w:t xml:space="preserve">It is possible to register your interest in the outcome of the EECC challenge by emailing Claire Jones </w:t>
      </w:r>
      <w:hyperlink r:id="rId9">
        <w:r>
          <w:rPr>
            <w:rStyle w:val="Hyperlink"/>
            <w:rFonts w:cs="Arial"/>
            <w:b/>
            <w:bCs/>
            <w:sz w:val="22"/>
            <w:szCs w:val="22"/>
            <w:u w:val="none"/>
            <w:lang w:bidi="ar-SA"/>
          </w:rPr>
          <w:t>Claire.jones@governmentlegal.gov.uk</w:t>
        </w:r>
      </w:hyperlink>
      <w:r>
        <w:rPr>
          <w:rFonts w:cs="Arial"/>
          <w:b/>
          <w:bCs/>
          <w:color w:val="000000"/>
          <w:sz w:val="22"/>
          <w:szCs w:val="22"/>
        </w:rPr>
        <w:t xml:space="preserve"> representing solicitor for the Department of Levelling Up, Housing and Communities (DLUHC), quoting case number Z2309835.</w:t>
      </w:r>
    </w:p>
    <w:p w14:paraId="42836C74" w14:textId="77777777" w:rsidR="00A37EC2" w:rsidRDefault="00A37EC2">
      <w:pPr>
        <w:rPr>
          <w:rFonts w:cs="Arial" w:hint="eastAsia"/>
          <w:sz w:val="22"/>
          <w:szCs w:val="22"/>
        </w:rPr>
      </w:pPr>
    </w:p>
    <w:p w14:paraId="46E47BF3" w14:textId="77777777" w:rsidR="00A37EC2" w:rsidRDefault="00000000">
      <w:pPr>
        <w:rPr>
          <w:rFonts w:hint="eastAsia"/>
          <w:sz w:val="22"/>
          <w:szCs w:val="22"/>
        </w:rPr>
      </w:pPr>
      <w:r>
        <w:rPr>
          <w:rFonts w:cs="Arial"/>
          <w:color w:val="000000"/>
          <w:sz w:val="22"/>
          <w:szCs w:val="22"/>
        </w:rPr>
        <w:t>3) The local council has a ‘duty of care’ under the Health and Social Care Act 2012, National Health Service Act 2006 and EECC 2018.</w:t>
      </w:r>
    </w:p>
    <w:p w14:paraId="46740300" w14:textId="77777777" w:rsidR="00A37EC2" w:rsidRDefault="00A37EC2">
      <w:pPr>
        <w:pStyle w:val="standard0"/>
        <w:spacing w:before="0" w:after="0"/>
        <w:rPr>
          <w:rFonts w:cs="Arial" w:hint="eastAsia"/>
          <w:sz w:val="22"/>
          <w:szCs w:val="22"/>
        </w:rPr>
      </w:pPr>
    </w:p>
    <w:p w14:paraId="6BA3FC27" w14:textId="61585C9C" w:rsidR="00A37EC2" w:rsidRDefault="00000000">
      <w:pPr>
        <w:pStyle w:val="Heading3"/>
        <w:rPr>
          <w:rFonts w:hint="eastAsia"/>
          <w:color w:val="3465A4"/>
          <w:sz w:val="24"/>
          <w:szCs w:val="24"/>
        </w:rPr>
      </w:pPr>
      <w:bookmarkStart w:id="14" w:name="_Toc210846950"/>
      <w:proofErr w:type="gramStart"/>
      <w:r>
        <w:rPr>
          <w:rFonts w:cs="Arial"/>
          <w:color w:val="3465A4"/>
          <w:sz w:val="24"/>
          <w:szCs w:val="24"/>
        </w:rPr>
        <w:t>A1.4</w:t>
      </w:r>
      <w:r w:rsidR="00C56FEA">
        <w:rPr>
          <w:rFonts w:cs="Arial"/>
          <w:color w:val="3465A4"/>
          <w:sz w:val="24"/>
          <w:szCs w:val="24"/>
        </w:rPr>
        <w:t xml:space="preserve">  </w:t>
      </w:r>
      <w:r>
        <w:rPr>
          <w:rFonts w:cs="Arial"/>
          <w:color w:val="3465A4"/>
          <w:sz w:val="24"/>
          <w:szCs w:val="24"/>
        </w:rPr>
        <w:t>THE</w:t>
      </w:r>
      <w:proofErr w:type="gramEnd"/>
      <w:r>
        <w:rPr>
          <w:rFonts w:cs="Arial"/>
          <w:color w:val="3465A4"/>
          <w:sz w:val="24"/>
          <w:szCs w:val="24"/>
        </w:rPr>
        <w:t xml:space="preserve"> NATURAL ENVIRONMENT AND RURAL COMMUNITIES ACT 2006 (NERC ACT)</w:t>
      </w:r>
      <w:bookmarkEnd w:id="14"/>
    </w:p>
    <w:p w14:paraId="0D0D4641" w14:textId="77777777" w:rsidR="00A37EC2" w:rsidRDefault="00000000">
      <w:pPr>
        <w:pStyle w:val="Standard"/>
        <w:rPr>
          <w:rFonts w:ascii="Amiri" w:hAnsi="Amiri" w:hint="eastAsia"/>
          <w:sz w:val="22"/>
          <w:szCs w:val="22"/>
        </w:rPr>
      </w:pPr>
      <w:r>
        <w:rPr>
          <w:rFonts w:ascii="Amiri" w:hAnsi="Amiri" w:cs="Arial"/>
          <w:sz w:val="22"/>
          <w:szCs w:val="22"/>
        </w:rPr>
        <w:t>Many urban species (</w:t>
      </w:r>
      <w:proofErr w:type="spellStart"/>
      <w:r>
        <w:rPr>
          <w:rFonts w:ascii="Amiri" w:hAnsi="Amiri" w:cs="Arial"/>
          <w:sz w:val="22"/>
          <w:szCs w:val="22"/>
        </w:rPr>
        <w:t>incl</w:t>
      </w:r>
      <w:proofErr w:type="spellEnd"/>
      <w:r>
        <w:rPr>
          <w:rFonts w:ascii="Amiri" w:hAnsi="Amiri" w:cs="Arial"/>
          <w:sz w:val="22"/>
          <w:szCs w:val="22"/>
        </w:rPr>
        <w:t xml:space="preserve"> House Sparrow and Starling) are protected by </w:t>
      </w:r>
      <w:r>
        <w:rPr>
          <w:rFonts w:ascii="Amiri" w:hAnsi="Amiri" w:cs="Arial"/>
          <w:b/>
          <w:bCs/>
          <w:sz w:val="22"/>
          <w:szCs w:val="22"/>
        </w:rPr>
        <w:t xml:space="preserve">The Natural Environment and Rural Communities Act 2006 (NERC Act) The </w:t>
      </w:r>
      <w:r>
        <w:rPr>
          <w:rFonts w:ascii="Amiri" w:hAnsi="Amiri" w:cs="Arial"/>
          <w:sz w:val="22"/>
          <w:szCs w:val="22"/>
        </w:rPr>
        <w:t xml:space="preserve">statutory </w:t>
      </w:r>
      <w:proofErr w:type="gramStart"/>
      <w:r>
        <w:rPr>
          <w:rFonts w:ascii="Amiri" w:hAnsi="Amiri" w:cs="Arial"/>
          <w:sz w:val="22"/>
          <w:szCs w:val="22"/>
        </w:rPr>
        <w:t>duty  is</w:t>
      </w:r>
      <w:proofErr w:type="gramEnd"/>
      <w:r>
        <w:rPr>
          <w:rFonts w:ascii="Amiri" w:hAnsi="Amiri" w:cs="Arial"/>
          <w:sz w:val="22"/>
          <w:szCs w:val="22"/>
        </w:rPr>
        <w:t xml:space="preserve"> set out in Section 40 of the NERC Act states that </w:t>
      </w:r>
      <w:r>
        <w:rPr>
          <w:rFonts w:ascii="Amiri" w:hAnsi="Amiri" w:cs="Arial"/>
          <w:i/>
          <w:iCs/>
          <w:sz w:val="22"/>
          <w:szCs w:val="22"/>
        </w:rPr>
        <w:t>"Every public authority must, in exercising its functions, have regard, so far as is consistent with the proper exercise of those functions, to the purpose of conserving biodiversity"</w:t>
      </w:r>
    </w:p>
    <w:p w14:paraId="514CD63F" w14:textId="77777777" w:rsidR="00A37EC2" w:rsidRDefault="00000000">
      <w:pPr>
        <w:pStyle w:val="Standard"/>
        <w:rPr>
          <w:rFonts w:ascii="Amiri" w:hAnsi="Amiri" w:hint="eastAsia"/>
          <w:sz w:val="22"/>
          <w:szCs w:val="22"/>
        </w:rPr>
      </w:pPr>
      <w:r>
        <w:rPr>
          <w:rFonts w:ascii="Amiri" w:hAnsi="Amiri" w:cs="Arial"/>
          <w:bCs/>
          <w:color w:val="000000"/>
          <w:sz w:val="22"/>
          <w:szCs w:val="22"/>
        </w:rPr>
        <w:t xml:space="preserve">Section 41 of the Act refers to a published list of habitats and species which are of principal importance for the conservation of biodiversity in England. The Duty applies to all local authorities, community, parish and town councils, police, fire and health authorities and utility companies. </w:t>
      </w:r>
    </w:p>
    <w:p w14:paraId="0BC4164B" w14:textId="77777777" w:rsidR="00A37EC2" w:rsidRDefault="00A37EC2">
      <w:pPr>
        <w:pStyle w:val="Standard"/>
        <w:rPr>
          <w:rFonts w:cs="Arial"/>
          <w:bCs/>
          <w:color w:val="069A2E"/>
        </w:rPr>
      </w:pPr>
    </w:p>
    <w:p w14:paraId="7C97E1D5" w14:textId="2A78EFFD" w:rsidR="00A37EC2" w:rsidRDefault="00000000">
      <w:pPr>
        <w:pStyle w:val="Heading3"/>
        <w:rPr>
          <w:rFonts w:cs="Arial" w:hint="eastAsia"/>
          <w:color w:val="3465A4"/>
          <w:sz w:val="24"/>
          <w:szCs w:val="24"/>
        </w:rPr>
      </w:pPr>
      <w:bookmarkStart w:id="15" w:name="_Toc210846951"/>
      <w:proofErr w:type="gramStart"/>
      <w:r>
        <w:rPr>
          <w:rFonts w:cs="Arial"/>
          <w:color w:val="3465A4"/>
          <w:sz w:val="24"/>
          <w:szCs w:val="24"/>
        </w:rPr>
        <w:t>A1.5</w:t>
      </w:r>
      <w:r w:rsidR="00C56FEA">
        <w:rPr>
          <w:rFonts w:cs="Arial"/>
          <w:color w:val="3465A4"/>
          <w:sz w:val="24"/>
          <w:szCs w:val="24"/>
        </w:rPr>
        <w:t xml:space="preserve"> </w:t>
      </w:r>
      <w:r>
        <w:rPr>
          <w:rFonts w:cs="Arial"/>
          <w:color w:val="3465A4"/>
          <w:sz w:val="24"/>
          <w:szCs w:val="24"/>
        </w:rPr>
        <w:t xml:space="preserve"> PITTSFIELD</w:t>
      </w:r>
      <w:proofErr w:type="gramEnd"/>
      <w:r>
        <w:rPr>
          <w:rFonts w:cs="Arial"/>
          <w:color w:val="3465A4"/>
          <w:sz w:val="24"/>
          <w:szCs w:val="24"/>
        </w:rPr>
        <w:t xml:space="preserve"> – IMMEDIATE 5G HARMS = CEASE &amp; DESIST ORDER SERVED</w:t>
      </w:r>
      <w:bookmarkEnd w:id="15"/>
      <w:r>
        <w:rPr>
          <w:rFonts w:cs="Arial"/>
          <w:color w:val="3465A4"/>
          <w:sz w:val="24"/>
          <w:szCs w:val="24"/>
        </w:rPr>
        <w:t xml:space="preserve"> </w:t>
      </w:r>
    </w:p>
    <w:p w14:paraId="69BF971F" w14:textId="77777777" w:rsidR="00A37EC2" w:rsidRDefault="00000000">
      <w:pPr>
        <w:pStyle w:val="BodyText"/>
        <w:rPr>
          <w:rFonts w:hint="eastAsia"/>
        </w:rPr>
      </w:pPr>
      <w:r>
        <w:t>EXAMPLE OF IMMEDIATE HEALTH EFFECTS FROM 5G INSTALLATION RESULTING IN CEASE AND DESIST</w:t>
      </w:r>
    </w:p>
    <w:p w14:paraId="76156C15" w14:textId="77777777" w:rsidR="00A37EC2" w:rsidRDefault="00000000">
      <w:pPr>
        <w:pStyle w:val="standard0"/>
        <w:tabs>
          <w:tab w:val="left" w:pos="1440"/>
        </w:tabs>
        <w:spacing w:before="0" w:after="0"/>
        <w:rPr>
          <w:rFonts w:hint="eastAsia"/>
        </w:rPr>
      </w:pPr>
      <w:r>
        <w:rPr>
          <w:rFonts w:cs="Arial"/>
          <w:color w:val="000000"/>
          <w:sz w:val="22"/>
          <w:szCs w:val="22"/>
        </w:rPr>
        <w:t xml:space="preserve">Residents living </w:t>
      </w:r>
      <w:proofErr w:type="gramStart"/>
      <w:r>
        <w:rPr>
          <w:rFonts w:cs="Arial"/>
          <w:color w:val="000000"/>
          <w:sz w:val="22"/>
          <w:szCs w:val="22"/>
        </w:rPr>
        <w:t>in close proximity to</w:t>
      </w:r>
      <w:proofErr w:type="gramEnd"/>
      <w:r>
        <w:rPr>
          <w:rFonts w:cs="Arial"/>
          <w:color w:val="000000"/>
          <w:sz w:val="22"/>
          <w:szCs w:val="22"/>
        </w:rPr>
        <w:t xml:space="preserve"> a mast became sick soon after the switch-on of a 5G mast in </w:t>
      </w:r>
      <w:r>
        <w:rPr>
          <w:rFonts w:cs="Arial"/>
          <w:b/>
          <w:bCs/>
          <w:sz w:val="22"/>
          <w:szCs w:val="22"/>
        </w:rPr>
        <w:t>Pittsfield MA</w:t>
      </w:r>
      <w:r>
        <w:rPr>
          <w:rFonts w:cs="Arial"/>
          <w:sz w:val="22"/>
          <w:szCs w:val="22"/>
        </w:rPr>
        <w:t>.</w:t>
      </w:r>
      <w:r>
        <w:rPr>
          <w:rFonts w:cs="Arial"/>
          <w:color w:val="000000"/>
          <w:sz w:val="22"/>
          <w:szCs w:val="22"/>
        </w:rPr>
        <w:t xml:space="preserve"> </w:t>
      </w:r>
      <w:r>
        <w:rPr>
          <w:rStyle w:val="Hyperlink"/>
          <w:rFonts w:cs="Arial"/>
          <w:sz w:val="22"/>
          <w:szCs w:val="22"/>
          <w:u w:val="none"/>
          <w:lang w:bidi="ar-SA"/>
        </w:rPr>
        <w:t>(</w:t>
      </w:r>
      <w:hyperlink r:id="rId10">
        <w:r>
          <w:rPr>
            <w:rStyle w:val="Hyperlink"/>
            <w:rFonts w:cs="Arial"/>
            <w:sz w:val="22"/>
            <w:szCs w:val="22"/>
            <w:u w:val="none"/>
          </w:rPr>
          <w:t>https://ehtrust.org/pittsfield-ma-board-of-health-unanimously-votes-to-issue-cease-and-desist-for-verizon-cell-tower/</w:t>
        </w:r>
      </w:hyperlink>
      <w:r>
        <w:rPr>
          <w:rStyle w:val="Hyperlink"/>
          <w:rFonts w:cs="Arial"/>
          <w:sz w:val="22"/>
          <w:szCs w:val="22"/>
          <w:u w:val="none"/>
          <w:lang w:bidi="ar-SA"/>
        </w:rPr>
        <w:t>)</w:t>
      </w:r>
    </w:p>
    <w:p w14:paraId="2EE04A15" w14:textId="77777777" w:rsidR="00A37EC2" w:rsidRDefault="00000000">
      <w:pPr>
        <w:pStyle w:val="standard0"/>
        <w:spacing w:before="0" w:after="0"/>
        <w:rPr>
          <w:rFonts w:hint="eastAsia"/>
        </w:rPr>
      </w:pPr>
      <w:r>
        <w:rPr>
          <w:rFonts w:cs="Arial"/>
          <w:color w:val="000000"/>
          <w:sz w:val="22"/>
          <w:szCs w:val="22"/>
        </w:rPr>
        <w:t>The local council  served a ‘Cease and Desist’ notice on the Telecoms company Verizon,</w:t>
      </w:r>
      <w:r>
        <w:rPr>
          <w:rFonts w:cs="Arial"/>
          <w:sz w:val="22"/>
          <w:szCs w:val="22"/>
        </w:rPr>
        <w:t xml:space="preserve"> </w:t>
      </w:r>
      <w:r>
        <w:rPr>
          <w:rFonts w:cs="Arial"/>
          <w:i/>
          <w:iCs/>
          <w:sz w:val="22"/>
          <w:szCs w:val="22"/>
        </w:rPr>
        <w:t xml:space="preserve"> </w:t>
      </w:r>
      <w:r>
        <w:rPr>
          <w:rFonts w:cs="Arial"/>
          <w:i/>
          <w:iCs/>
          <w:color w:val="342A06"/>
          <w:sz w:val="22"/>
          <w:szCs w:val="22"/>
        </w:rPr>
        <w:t xml:space="preserve">”So on some level for me, win or lose this long battle with a company that’s going to look at this on a global scale, at some point, I’m going to have to sit back 20 years later and say, did I do everything I could to safeguard the residents in Pittsfield when I was in that position or did I not? I guess that’s the way I </w:t>
      </w:r>
      <w:proofErr w:type="gramStart"/>
      <w:r>
        <w:rPr>
          <w:rFonts w:cs="Arial"/>
          <w:i/>
          <w:iCs/>
          <w:color w:val="342A06"/>
          <w:sz w:val="22"/>
          <w:szCs w:val="22"/>
        </w:rPr>
        <w:t>have to</w:t>
      </w:r>
      <w:proofErr w:type="gramEnd"/>
      <w:r>
        <w:rPr>
          <w:rFonts w:cs="Arial"/>
          <w:i/>
          <w:iCs/>
          <w:color w:val="342A06"/>
          <w:sz w:val="22"/>
          <w:szCs w:val="22"/>
        </w:rPr>
        <w:t xml:space="preserve"> think about it.”</w:t>
      </w:r>
    </w:p>
    <w:p w14:paraId="6D86C332" w14:textId="47FADE84" w:rsidR="00A37EC2" w:rsidRDefault="00000000">
      <w:pPr>
        <w:pStyle w:val="Heading2"/>
        <w:rPr>
          <w:rFonts w:hint="eastAsia"/>
        </w:rPr>
      </w:pPr>
      <w:bookmarkStart w:id="16" w:name="_Toc210846952"/>
      <w:r>
        <w:rPr>
          <w:rFonts w:cs="Arial"/>
          <w:color w:val="3465A4"/>
          <w:sz w:val="24"/>
          <w:szCs w:val="24"/>
        </w:rPr>
        <w:t>A2 HEALTH &amp; ENVIRONMENT EVIDENCE</w:t>
      </w:r>
      <w:bookmarkEnd w:id="16"/>
      <w:r>
        <w:rPr>
          <w:rFonts w:cs="Arial"/>
          <w:color w:val="3465A4"/>
          <w:sz w:val="24"/>
          <w:szCs w:val="24"/>
        </w:rPr>
        <w:t xml:space="preserve"> </w:t>
      </w:r>
    </w:p>
    <w:p w14:paraId="65FB3E83" w14:textId="797DC394" w:rsidR="00A37EC2" w:rsidRDefault="00000000">
      <w:pPr>
        <w:pStyle w:val="Heading3"/>
        <w:rPr>
          <w:rFonts w:hint="eastAsia"/>
          <w:color w:val="3465A4"/>
          <w:sz w:val="24"/>
          <w:szCs w:val="24"/>
        </w:rPr>
      </w:pPr>
      <w:bookmarkStart w:id="17" w:name="_Toc210846953"/>
      <w:proofErr w:type="gramStart"/>
      <w:r>
        <w:rPr>
          <w:rFonts w:cs="Arial"/>
          <w:color w:val="3465A4"/>
          <w:sz w:val="24"/>
          <w:szCs w:val="24"/>
        </w:rPr>
        <w:t>A2.1</w:t>
      </w:r>
      <w:r w:rsidR="00C56FEA">
        <w:rPr>
          <w:rFonts w:cs="Arial"/>
          <w:color w:val="3465A4"/>
          <w:sz w:val="24"/>
          <w:szCs w:val="24"/>
        </w:rPr>
        <w:t xml:space="preserve">  </w:t>
      </w:r>
      <w:r>
        <w:rPr>
          <w:rFonts w:cs="Arial"/>
          <w:color w:val="3465A4"/>
          <w:sz w:val="24"/>
          <w:szCs w:val="24"/>
          <w:lang/>
        </w:rPr>
        <w:t>500</w:t>
      </w:r>
      <w:proofErr w:type="gramEnd"/>
      <w:r>
        <w:rPr>
          <w:rFonts w:cs="Arial"/>
          <w:color w:val="3465A4"/>
          <w:sz w:val="24"/>
          <w:szCs w:val="24"/>
          <w:lang/>
        </w:rPr>
        <w:t>M SETBACK</w:t>
      </w:r>
      <w:bookmarkEnd w:id="17"/>
    </w:p>
    <w:p w14:paraId="729A1069" w14:textId="77777777" w:rsidR="00A37EC2" w:rsidRDefault="00000000">
      <w:pPr>
        <w:rPr>
          <w:rFonts w:hint="eastAsia"/>
          <w:sz w:val="22"/>
          <w:szCs w:val="22"/>
        </w:rPr>
      </w:pPr>
      <w:r>
        <w:rPr>
          <w:rFonts w:cs="Arial"/>
          <w:sz w:val="22"/>
          <w:szCs w:val="22"/>
        </w:rPr>
        <w:t xml:space="preserve">The </w:t>
      </w:r>
      <w:r>
        <w:rPr>
          <w:rFonts w:cs="Arial"/>
          <w:b/>
          <w:bCs/>
          <w:sz w:val="22"/>
          <w:szCs w:val="22"/>
        </w:rPr>
        <w:t>New Hampshire Commission</w:t>
      </w:r>
      <w:r>
        <w:rPr>
          <w:rFonts w:cs="Arial"/>
          <w:sz w:val="22"/>
          <w:szCs w:val="22"/>
        </w:rPr>
        <w:t xml:space="preserve"> requires wireless telecommunication antennas to be placed at least 1,640 feet (500m) from residents, parks, playgrounds, hospitals, nursing homes, day care centres and schools. </w:t>
      </w:r>
    </w:p>
    <w:p w14:paraId="1B7490C5" w14:textId="77777777" w:rsidR="00A37EC2" w:rsidRDefault="00A37EC2">
      <w:pPr>
        <w:rPr>
          <w:rFonts w:cs="Arial" w:hint="eastAsia"/>
          <w:sz w:val="22"/>
          <w:szCs w:val="22"/>
        </w:rPr>
      </w:pPr>
    </w:p>
    <w:p w14:paraId="61E29C86" w14:textId="77777777" w:rsidR="00A37EC2" w:rsidRDefault="00000000">
      <w:pPr>
        <w:pStyle w:val="ListParagraph"/>
        <w:ind w:left="0"/>
        <w:rPr>
          <w:rFonts w:hint="eastAsia"/>
          <w:sz w:val="22"/>
          <w:szCs w:val="22"/>
        </w:rPr>
      </w:pPr>
      <w:r>
        <w:rPr>
          <w:rFonts w:cs="Arial"/>
          <w:sz w:val="22"/>
          <w:szCs w:val="22"/>
        </w:rPr>
        <w:t xml:space="preserve">The </w:t>
      </w:r>
      <w:r>
        <w:rPr>
          <w:rFonts w:cs="Arial"/>
          <w:b/>
          <w:bCs/>
          <w:sz w:val="22"/>
          <w:szCs w:val="22"/>
        </w:rPr>
        <w:t>13-strong expert commission</w:t>
      </w:r>
      <w:r>
        <w:rPr>
          <w:rFonts w:cs="Arial"/>
          <w:sz w:val="22"/>
          <w:szCs w:val="22"/>
        </w:rPr>
        <w:t xml:space="preserve"> was formed through legislation to include experts in: physics, toxicology, electro-</w:t>
      </w:r>
      <w:proofErr w:type="spellStart"/>
      <w:r>
        <w:rPr>
          <w:rFonts w:cs="Arial"/>
          <w:sz w:val="22"/>
          <w:szCs w:val="22"/>
        </w:rPr>
        <w:t>magnetics</w:t>
      </w:r>
      <w:proofErr w:type="spellEnd"/>
      <w:r>
        <w:rPr>
          <w:rFonts w:cs="Arial"/>
          <w:sz w:val="22"/>
          <w:szCs w:val="22"/>
        </w:rPr>
        <w:t xml:space="preserve">, epidemiology, biostatistics, occupational health medicine, public health policy, business and law.  This recommendation is evidence based, and such evidence is globally applicable.  </w:t>
      </w:r>
      <w:r>
        <w:rPr>
          <w:rFonts w:cs="Arial"/>
          <w:sz w:val="22"/>
          <w:szCs w:val="22"/>
          <w:lang/>
        </w:rPr>
        <w:t>Transcript pertinent to the 500m setback Dr Kent Chamberlain:</w:t>
      </w:r>
      <w:r>
        <w:rPr>
          <w:rFonts w:cs="Arial"/>
          <w:color w:val="000080"/>
          <w:sz w:val="22"/>
          <w:szCs w:val="22"/>
          <w:lang/>
        </w:rPr>
        <w:t xml:space="preserve"> </w:t>
      </w:r>
      <w:r>
        <w:rPr>
          <w:rFonts w:cs="Arial"/>
          <w:color w:val="000000"/>
          <w:sz w:val="22"/>
          <w:szCs w:val="22"/>
          <w:lang/>
        </w:rPr>
        <w:t>November 2021</w:t>
      </w:r>
    </w:p>
    <w:p w14:paraId="4D9B9B0B" w14:textId="77777777" w:rsidR="00A37EC2" w:rsidRDefault="00000000">
      <w:pPr>
        <w:pStyle w:val="ListParagraph"/>
        <w:ind w:left="0"/>
        <w:rPr>
          <w:rFonts w:hint="eastAsia"/>
        </w:rPr>
      </w:pPr>
      <w:hyperlink r:id="rId11">
        <w:r>
          <w:rPr>
            <w:rStyle w:val="Hyperlink"/>
            <w:rFonts w:cs="Arial"/>
            <w:sz w:val="22"/>
            <w:szCs w:val="22"/>
            <w:u w:val="none"/>
          </w:rPr>
          <w:t>https://www.youtube.com/watch?v=DWK74ie7krc</w:t>
        </w:r>
      </w:hyperlink>
    </w:p>
    <w:p w14:paraId="6597D115" w14:textId="77777777" w:rsidR="00A37EC2" w:rsidRDefault="00A37EC2">
      <w:pPr>
        <w:pStyle w:val="BodyText"/>
        <w:spacing w:after="0" w:line="240" w:lineRule="auto"/>
        <w:rPr>
          <w:rFonts w:cs="Arial" w:hint="eastAsia"/>
          <w:szCs w:val="22"/>
          <w:lang/>
        </w:rPr>
      </w:pPr>
    </w:p>
    <w:p w14:paraId="0C3CF58A" w14:textId="3ABFE523" w:rsidR="00A37EC2" w:rsidRDefault="00000000">
      <w:pPr>
        <w:pStyle w:val="Heading3"/>
        <w:rPr>
          <w:rFonts w:cs="Arial" w:hint="eastAsia"/>
          <w:color w:val="3465A4"/>
          <w:sz w:val="24"/>
          <w:szCs w:val="24"/>
        </w:rPr>
      </w:pPr>
      <w:bookmarkStart w:id="18" w:name="_Toc210846954"/>
      <w:r>
        <w:rPr>
          <w:rFonts w:cs="Arial"/>
          <w:color w:val="3465A4"/>
          <w:sz w:val="24"/>
          <w:szCs w:val="24"/>
        </w:rPr>
        <w:t>A2.2 LOPEZ ET AL</w:t>
      </w:r>
      <w:bookmarkEnd w:id="18"/>
      <w:r>
        <w:rPr>
          <w:rFonts w:cs="Arial"/>
          <w:color w:val="3465A4"/>
          <w:sz w:val="24"/>
          <w:szCs w:val="24"/>
        </w:rPr>
        <w:t xml:space="preserve"> </w:t>
      </w:r>
    </w:p>
    <w:p w14:paraId="19A4599F" w14:textId="77777777" w:rsidR="00A37EC2" w:rsidRDefault="00000000">
      <w:pPr>
        <w:pStyle w:val="BodyText"/>
        <w:rPr>
          <w:rFonts w:hint="eastAsia"/>
        </w:rPr>
      </w:pPr>
      <w:bookmarkStart w:id="19" w:name="__RefHeading___Toc6561_2626648583"/>
      <w:bookmarkEnd w:id="19"/>
      <w:r>
        <w:rPr>
          <w:rFonts w:cs="Arial"/>
          <w:lang/>
        </w:rPr>
        <w:t xml:space="preserve">'What is the radiation prior to 5G?' </w:t>
      </w:r>
      <w:r>
        <w:rPr>
          <w:rFonts w:cs="Arial"/>
        </w:rPr>
        <w:t xml:space="preserve"> March 2021. A correlation study between measurements in situ and in real time and epidemiological indicators in </w:t>
      </w:r>
      <w:proofErr w:type="spellStart"/>
      <w:r>
        <w:rPr>
          <w:rFonts w:cs="Arial"/>
        </w:rPr>
        <w:t>Vallecas</w:t>
      </w:r>
      <w:proofErr w:type="spellEnd"/>
      <w:r>
        <w:rPr>
          <w:rFonts w:cs="Arial"/>
        </w:rPr>
        <w:t>, Madrid. The study reports dizziness, headaches and sleep disturbances.</w:t>
      </w:r>
    </w:p>
    <w:p w14:paraId="510EDBDD" w14:textId="77777777" w:rsidR="00A37EC2" w:rsidRDefault="00000000">
      <w:pPr>
        <w:pStyle w:val="BodyText"/>
        <w:rPr>
          <w:rFonts w:hint="eastAsia"/>
        </w:rPr>
      </w:pPr>
      <w:hyperlink r:id="rId12">
        <w:r>
          <w:rPr>
            <w:rStyle w:val="Hyperlink"/>
          </w:rPr>
          <w:t>https://pubmed.ncbi.nlm.nih.gov/33434609/</w:t>
        </w:r>
      </w:hyperlink>
    </w:p>
    <w:p w14:paraId="4215827B" w14:textId="77777777" w:rsidR="00A37EC2" w:rsidRDefault="00A37EC2">
      <w:pPr>
        <w:rPr>
          <w:rFonts w:cs="Arial" w:hint="eastAsia"/>
          <w:sz w:val="22"/>
          <w:szCs w:val="22"/>
        </w:rPr>
      </w:pPr>
    </w:p>
    <w:p w14:paraId="4E3B7051" w14:textId="6EC64967" w:rsidR="00A37EC2" w:rsidRDefault="00000000">
      <w:pPr>
        <w:pStyle w:val="Heading3"/>
        <w:rPr>
          <w:rFonts w:hint="eastAsia"/>
          <w:color w:val="3465A4"/>
          <w:sz w:val="24"/>
          <w:szCs w:val="24"/>
        </w:rPr>
      </w:pPr>
      <w:bookmarkStart w:id="20" w:name="_Toc210846955"/>
      <w:r>
        <w:rPr>
          <w:color w:val="3465A4"/>
          <w:sz w:val="24"/>
          <w:szCs w:val="24"/>
        </w:rPr>
        <w:t>A2.3 JD PEARCE RECOMMENDS TELECOMS OBSERVE 500m SETBACK TO LIMIT LIABILITY</w:t>
      </w:r>
      <w:bookmarkEnd w:id="20"/>
    </w:p>
    <w:p w14:paraId="59509FC7" w14:textId="77777777" w:rsidR="00A37EC2" w:rsidRDefault="00000000">
      <w:pPr>
        <w:pStyle w:val="BodyText"/>
        <w:rPr>
          <w:rFonts w:hint="eastAsia"/>
        </w:rPr>
      </w:pPr>
      <w:bookmarkStart w:id="21" w:name="__RefHeading___Toc7471_2626648583"/>
      <w:bookmarkEnd w:id="21"/>
      <w:r>
        <w:t>November 2019 ‘Limiting liability with positioning to minimize the negative health effects of cellular phone towers'</w:t>
      </w:r>
    </w:p>
    <w:p w14:paraId="050E72A8" w14:textId="77777777" w:rsidR="00A37EC2" w:rsidRDefault="00000000">
      <w:pPr>
        <w:pStyle w:val="BodyText"/>
        <w:rPr>
          <w:rFonts w:hint="eastAsia"/>
        </w:rPr>
      </w:pPr>
      <w:r>
        <w:rPr>
          <w:rFonts w:cs="Arial"/>
        </w:rPr>
        <w:t xml:space="preserve">This </w:t>
      </w:r>
      <w:r>
        <w:rPr>
          <w:rFonts w:cs="Arial"/>
          <w:b/>
          <w:bCs/>
        </w:rPr>
        <w:t>JD PEARCE</w:t>
      </w:r>
      <w:r>
        <w:rPr>
          <w:rFonts w:cs="Arial"/>
        </w:rPr>
        <w:t xml:space="preserve"> paper states “There is a large and growing body of evidence that human exposure to RFR from cellular phone base stations causes negative health effects, including both </w:t>
      </w:r>
      <w:proofErr w:type="spellStart"/>
      <w:r>
        <w:rPr>
          <w:rFonts w:cs="Arial"/>
        </w:rPr>
        <w:t>i</w:t>
      </w:r>
      <w:proofErr w:type="spellEnd"/>
      <w:r>
        <w:rPr>
          <w:rFonts w:cs="Arial"/>
        </w:rPr>
        <w:t>) neuropsychiatric complaints such as headache, concentration difficulties, memory changes, dizziness, tremors, depressive symptoms, fatigue and sleep disturbance, and ii) increased incidence of cancer in those living in proximity to a cell-phone transmitter station.</w:t>
      </w:r>
    </w:p>
    <w:p w14:paraId="165156F3" w14:textId="77777777" w:rsidR="00A37EC2" w:rsidRDefault="00000000">
      <w:pPr>
        <w:rPr>
          <w:rFonts w:hint="eastAsia"/>
        </w:rPr>
      </w:pPr>
      <w:hyperlink r:id="rId13">
        <w:r>
          <w:rPr>
            <w:rStyle w:val="Hyperlink"/>
            <w:rFonts w:cs="Arial"/>
            <w:sz w:val="22"/>
            <w:szCs w:val="22"/>
            <w:u w:val="none"/>
          </w:rPr>
          <w:t>https://www.researchgate.net/publication/337624982_Limiting_liability_with_positioning_to_minimize_negative_health_effects_of_cellular_phone_towers</w:t>
        </w:r>
      </w:hyperlink>
    </w:p>
    <w:p w14:paraId="4981596E" w14:textId="77777777" w:rsidR="00A37EC2" w:rsidRDefault="00A37EC2">
      <w:pPr>
        <w:rPr>
          <w:rFonts w:cs="Arial" w:hint="eastAsia"/>
          <w:sz w:val="22"/>
          <w:szCs w:val="22"/>
        </w:rPr>
      </w:pPr>
    </w:p>
    <w:p w14:paraId="0250B0CC" w14:textId="2B6E1F9F" w:rsidR="00A37EC2" w:rsidRDefault="00000000">
      <w:pPr>
        <w:pStyle w:val="Heading3"/>
        <w:rPr>
          <w:rFonts w:cs="Arial" w:hint="eastAsia"/>
          <w:color w:val="3465A4"/>
          <w:sz w:val="24"/>
          <w:szCs w:val="24"/>
        </w:rPr>
      </w:pPr>
      <w:bookmarkStart w:id="22" w:name="_Toc210846956"/>
      <w:r>
        <w:rPr>
          <w:rFonts w:cs="Arial"/>
          <w:color w:val="3465A4"/>
          <w:sz w:val="24"/>
          <w:szCs w:val="24"/>
        </w:rPr>
        <w:t xml:space="preserve">A2.4 MOBILE PHONE MAST HEALTH EFFECTS: J. </w:t>
      </w:r>
      <w:proofErr w:type="spellStart"/>
      <w:r>
        <w:rPr>
          <w:rFonts w:cs="Arial"/>
          <w:color w:val="3465A4"/>
          <w:sz w:val="24"/>
          <w:szCs w:val="24"/>
        </w:rPr>
        <w:t>Moskovic</w:t>
      </w:r>
      <w:proofErr w:type="spellEnd"/>
      <w:r>
        <w:rPr>
          <w:rFonts w:cs="Arial"/>
          <w:color w:val="3465A4"/>
          <w:sz w:val="24"/>
          <w:szCs w:val="24"/>
        </w:rPr>
        <w:t xml:space="preserve"> March 2021</w:t>
      </w:r>
      <w:bookmarkEnd w:id="22"/>
    </w:p>
    <w:p w14:paraId="6C9B41CC" w14:textId="77777777" w:rsidR="00A37EC2" w:rsidRDefault="00000000">
      <w:pPr>
        <w:rPr>
          <w:rFonts w:hint="eastAsia"/>
        </w:rPr>
      </w:pPr>
      <w:hyperlink r:id="rId14">
        <w:r>
          <w:rPr>
            <w:rStyle w:val="Hyperlink"/>
            <w:rFonts w:cs="Arial"/>
            <w:sz w:val="22"/>
            <w:szCs w:val="22"/>
            <w:u w:val="none"/>
          </w:rPr>
          <w:t>https://www.saferemr.com/2015/04/cell-tower-health-effects.html</w:t>
        </w:r>
      </w:hyperlink>
    </w:p>
    <w:p w14:paraId="1B381817" w14:textId="77777777" w:rsidR="00A37EC2" w:rsidRDefault="00A37EC2">
      <w:pPr>
        <w:pStyle w:val="BodyText"/>
        <w:spacing w:after="0" w:line="240" w:lineRule="auto"/>
        <w:rPr>
          <w:rFonts w:cs="Arial" w:hint="eastAsia"/>
          <w:szCs w:val="22"/>
        </w:rPr>
      </w:pPr>
    </w:p>
    <w:p w14:paraId="5200E0D4" w14:textId="47E80755" w:rsidR="00A37EC2" w:rsidRDefault="00000000">
      <w:pPr>
        <w:pStyle w:val="Heading3"/>
        <w:rPr>
          <w:rFonts w:hint="eastAsia"/>
          <w:color w:val="3465A4"/>
          <w:sz w:val="24"/>
          <w:szCs w:val="24"/>
        </w:rPr>
      </w:pPr>
      <w:bookmarkStart w:id="23" w:name="_Toc210846957"/>
      <w:r>
        <w:rPr>
          <w:color w:val="3465A4"/>
          <w:sz w:val="24"/>
          <w:szCs w:val="24"/>
        </w:rPr>
        <w:t>A2.5 THE FIRST SIX STUDIES OF ‘IN SITU’</w:t>
      </w:r>
      <w:bookmarkEnd w:id="23"/>
      <w:r>
        <w:rPr>
          <w:color w:val="3465A4"/>
          <w:sz w:val="24"/>
          <w:szCs w:val="24"/>
        </w:rPr>
        <w:t xml:space="preserve"> </w:t>
      </w:r>
    </w:p>
    <w:p w14:paraId="06BE00E2" w14:textId="77777777" w:rsidR="00A37EC2" w:rsidRDefault="00000000">
      <w:pPr>
        <w:rPr>
          <w:rFonts w:hint="eastAsia"/>
        </w:rPr>
      </w:pPr>
      <w:r>
        <w:t>5G record immediate (within couple of days to 6 weeks) adverse health effects of 5G RFR published in 2023</w:t>
      </w:r>
    </w:p>
    <w:p w14:paraId="423485BD" w14:textId="77777777" w:rsidR="00A37EC2" w:rsidRDefault="00000000">
      <w:pPr>
        <w:rPr>
          <w:rFonts w:ascii="Calibri" w:hAnsi="Calibri"/>
          <w:sz w:val="22"/>
          <w:szCs w:val="22"/>
        </w:rPr>
      </w:pPr>
      <w:hyperlink r:id="rId15">
        <w:r>
          <w:rPr>
            <w:rStyle w:val="Hyperlink"/>
            <w:sz w:val="22"/>
            <w:szCs w:val="22"/>
          </w:rPr>
          <w:t>https://www.journalserapublications.com/issues/v01/i01/JEPL_1020240101001.pdf</w:t>
        </w:r>
      </w:hyperlink>
    </w:p>
    <w:p w14:paraId="73FB80DE" w14:textId="77777777" w:rsidR="00A37EC2" w:rsidRDefault="00A37EC2">
      <w:pPr>
        <w:rPr>
          <w:rStyle w:val="Hyperlink"/>
          <w:rFonts w:cs="Arial" w:hint="eastAsia"/>
          <w:sz w:val="22"/>
          <w:szCs w:val="22"/>
          <w:u w:val="none"/>
        </w:rPr>
      </w:pPr>
    </w:p>
    <w:p w14:paraId="128BC35B" w14:textId="77777777" w:rsidR="00A37EC2" w:rsidRDefault="00A37EC2">
      <w:pPr>
        <w:pStyle w:val="BodyText"/>
        <w:spacing w:after="0" w:line="240" w:lineRule="auto"/>
        <w:rPr>
          <w:rFonts w:hint="eastAsia"/>
          <w:szCs w:val="22"/>
        </w:rPr>
      </w:pPr>
    </w:p>
    <w:p w14:paraId="16D23388" w14:textId="77777777" w:rsidR="00A37EC2" w:rsidRDefault="00000000">
      <w:pPr>
        <w:rPr>
          <w:rFonts w:hint="eastAsia"/>
          <w:sz w:val="22"/>
          <w:szCs w:val="22"/>
        </w:rPr>
      </w:pPr>
      <w:r>
        <w:rPr>
          <w:noProof/>
          <w:sz w:val="22"/>
          <w:szCs w:val="22"/>
        </w:rPr>
        <w:drawing>
          <wp:anchor distT="0" distB="0" distL="0" distR="0" simplePos="0" relativeHeight="2" behindDoc="0" locked="0" layoutInCell="0" allowOverlap="1" wp14:anchorId="4AC50293" wp14:editId="03009EFE">
            <wp:simplePos x="0" y="0"/>
            <wp:positionH relativeFrom="column">
              <wp:align>center</wp:align>
            </wp:positionH>
            <wp:positionV relativeFrom="paragraph">
              <wp:posOffset>635</wp:posOffset>
            </wp:positionV>
            <wp:extent cx="5886450" cy="370840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6"/>
                    <a:stretch>
                      <a:fillRect/>
                    </a:stretch>
                  </pic:blipFill>
                  <pic:spPr bwMode="auto">
                    <a:xfrm>
                      <a:off x="0" y="0"/>
                      <a:ext cx="5886450" cy="3708400"/>
                    </a:xfrm>
                    <a:prstGeom prst="rect">
                      <a:avLst/>
                    </a:prstGeom>
                  </pic:spPr>
                </pic:pic>
              </a:graphicData>
            </a:graphic>
          </wp:anchor>
        </w:drawing>
      </w:r>
    </w:p>
    <w:p w14:paraId="190FA819" w14:textId="77777777" w:rsidR="00A37EC2" w:rsidRDefault="00A37EC2">
      <w:pPr>
        <w:pStyle w:val="BodyText"/>
        <w:spacing w:after="0" w:line="240" w:lineRule="auto"/>
        <w:rPr>
          <w:rFonts w:cs="Arial" w:hint="eastAsia"/>
          <w:szCs w:val="22"/>
        </w:rPr>
      </w:pPr>
    </w:p>
    <w:p w14:paraId="08B089B2" w14:textId="77777777" w:rsidR="00A37EC2" w:rsidRDefault="00000000">
      <w:pPr>
        <w:pStyle w:val="Heading3"/>
        <w:rPr>
          <w:rFonts w:hint="eastAsia"/>
        </w:rPr>
      </w:pPr>
      <w:bookmarkStart w:id="24" w:name="_Toc210846958"/>
      <w:r>
        <w:rPr>
          <w:rFonts w:cs="Arial"/>
          <w:color w:val="3465A4"/>
          <w:szCs w:val="22"/>
          <w:lang/>
        </w:rPr>
        <w:t xml:space="preserve">A2.6) </w:t>
      </w:r>
      <w:r>
        <w:fldChar w:fldCharType="begin"/>
      </w:r>
      <w:r>
        <w:instrText>HYPERLINK "./. https://phiremedical.org/wp-content/uploads/2020/11/2020-Non-Ionising-Radiation-Consensus-Statement.pdf" \h</w:instrText>
      </w:r>
      <w:r>
        <w:rPr>
          <w:rFonts w:hint="eastAsia"/>
        </w:rPr>
        <w:fldChar w:fldCharType="separate"/>
      </w:r>
      <w:r>
        <w:rPr>
          <w:rStyle w:val="Hyperlink"/>
          <w:rFonts w:cs="Arial"/>
          <w:color w:val="3465A4"/>
          <w:szCs w:val="22"/>
          <w:u w:val="none"/>
          <w:lang w:bidi="ar-SA"/>
        </w:rPr>
        <w:t>2020 NIR CONSENSUS STATEMENT</w:t>
      </w:r>
      <w:r>
        <w:rPr>
          <w:rStyle w:val="Hyperlink"/>
          <w:rFonts w:cs="Arial"/>
          <w:color w:val="3465A4"/>
          <w:szCs w:val="22"/>
          <w:u w:val="none"/>
          <w:lang w:bidi="ar-SA"/>
        </w:rPr>
        <w:fldChar w:fldCharType="end"/>
      </w:r>
      <w:r>
        <w:rPr>
          <w:rFonts w:cs="Arial"/>
          <w:color w:val="3465A4"/>
          <w:szCs w:val="22"/>
          <w:lang/>
        </w:rPr>
        <w:t>:</w:t>
      </w:r>
      <w:r>
        <w:rPr>
          <w:rFonts w:cs="Arial"/>
          <w:color w:val="3465A4"/>
          <w:szCs w:val="22"/>
          <w:lang w:val="en-US"/>
        </w:rPr>
        <w:t xml:space="preserve"> </w:t>
      </w:r>
      <w:r>
        <w:rPr>
          <w:rFonts w:cs="Arial"/>
          <w:color w:val="3465A4"/>
          <w:szCs w:val="22"/>
        </w:rPr>
        <w:t>UK INITIATIVE, HEALTH EFFECTS FROM RFR – SIGNED BY OVER 3500 MEDICAL AND SCIENTIFIC EXPERTS.</w:t>
      </w:r>
      <w:bookmarkEnd w:id="24"/>
    </w:p>
    <w:p w14:paraId="779F377F" w14:textId="77777777" w:rsidR="00A37EC2" w:rsidRDefault="00000000">
      <w:pPr>
        <w:rPr>
          <w:rFonts w:hint="eastAsia"/>
        </w:rPr>
      </w:pPr>
      <w:hyperlink r:id="rId17">
        <w:r>
          <w:rPr>
            <w:rStyle w:val="Hyperlink"/>
            <w:rFonts w:cs="Arial"/>
            <w:sz w:val="22"/>
            <w:szCs w:val="22"/>
            <w:u w:val="none"/>
          </w:rPr>
          <w:t>https://phiremedical.org/2020-nir-consensus-statement-read/</w:t>
        </w:r>
      </w:hyperlink>
    </w:p>
    <w:p w14:paraId="3220E811" w14:textId="77777777" w:rsidR="00A37EC2" w:rsidRDefault="00A37EC2">
      <w:pPr>
        <w:rPr>
          <w:rFonts w:cs="Arial" w:hint="eastAsia"/>
          <w:sz w:val="22"/>
          <w:szCs w:val="22"/>
        </w:rPr>
      </w:pPr>
    </w:p>
    <w:p w14:paraId="3373A16E" w14:textId="76E19A44" w:rsidR="00A37EC2" w:rsidRDefault="00000000">
      <w:pPr>
        <w:pStyle w:val="Heading3"/>
        <w:rPr>
          <w:rFonts w:hint="eastAsia"/>
          <w:color w:val="3465A4"/>
          <w:sz w:val="24"/>
          <w:szCs w:val="24"/>
        </w:rPr>
      </w:pPr>
      <w:bookmarkStart w:id="25" w:name="_Toc210846959"/>
      <w:r>
        <w:rPr>
          <w:color w:val="3465A4"/>
          <w:sz w:val="24"/>
          <w:szCs w:val="24"/>
        </w:rPr>
        <w:t>A2.7 SCIENTIFIC SUBMISSION TOM BUTLER</w:t>
      </w:r>
      <w:bookmarkEnd w:id="25"/>
    </w:p>
    <w:p w14:paraId="7604B6D9" w14:textId="77777777" w:rsidR="00A37EC2" w:rsidRDefault="00000000">
      <w:pPr>
        <w:rPr>
          <w:rFonts w:eastAsia="Microsoft YaHei" w:hint="eastAsia"/>
          <w:b/>
          <w:bCs/>
          <w:color w:val="3465A4"/>
        </w:rPr>
      </w:pPr>
      <w:hyperlink r:id="rId18">
        <w:r>
          <w:rPr>
            <w:rStyle w:val="Hyperlink"/>
            <w:rFonts w:cs="Arial"/>
            <w:sz w:val="22"/>
            <w:szCs w:val="22"/>
            <w:u w:val="none"/>
            <w:lang w:bidi="ar-SA"/>
          </w:rPr>
          <w:t>https://actionagainst5g.org/wp-content/uploads/2020/05/Prof-Tom-Butler-Submission-on-5G.pdf</w:t>
        </w:r>
      </w:hyperlink>
      <w:r>
        <w:rPr>
          <w:rFonts w:cs="Arial"/>
          <w:sz w:val="22"/>
          <w:szCs w:val="22"/>
        </w:rPr>
        <w:br/>
      </w:r>
    </w:p>
    <w:p w14:paraId="2DE7A462" w14:textId="7DA67BA0" w:rsidR="00A37EC2" w:rsidRDefault="00000000">
      <w:pPr>
        <w:pStyle w:val="Heading3"/>
        <w:rPr>
          <w:rFonts w:hint="eastAsia"/>
          <w:color w:val="3465A4"/>
          <w:sz w:val="24"/>
          <w:szCs w:val="24"/>
        </w:rPr>
      </w:pPr>
      <w:bookmarkStart w:id="26" w:name="_Toc210846960"/>
      <w:r>
        <w:rPr>
          <w:color w:val="3465A4"/>
          <w:sz w:val="24"/>
          <w:szCs w:val="24"/>
        </w:rPr>
        <w:t xml:space="preserve">A2.8 US SUPREME COURT RULING </w:t>
      </w:r>
      <w:proofErr w:type="spellStart"/>
      <w:r>
        <w:rPr>
          <w:color w:val="3465A4"/>
          <w:sz w:val="24"/>
          <w:szCs w:val="24"/>
        </w:rPr>
        <w:t>FCCvEHT</w:t>
      </w:r>
      <w:bookmarkEnd w:id="26"/>
      <w:proofErr w:type="spellEnd"/>
      <w:r>
        <w:rPr>
          <w:color w:val="3465A4"/>
          <w:sz w:val="24"/>
          <w:szCs w:val="24"/>
        </w:rPr>
        <w:t xml:space="preserve"> </w:t>
      </w:r>
    </w:p>
    <w:p w14:paraId="2A9A1FB1" w14:textId="77777777" w:rsidR="00A37EC2" w:rsidRDefault="00000000">
      <w:pPr>
        <w:pStyle w:val="BodyText"/>
        <w:rPr>
          <w:rFonts w:hint="eastAsia"/>
        </w:rPr>
      </w:pPr>
      <w:proofErr w:type="gramStart"/>
      <w:r>
        <w:t>NON THERMAL</w:t>
      </w:r>
      <w:proofErr w:type="gramEnd"/>
      <w:r>
        <w:t xml:space="preserve"> EFFECTS SCIENCE &amp; EHS EVIDENCE EXCLUDED FROM GUIDELINES</w:t>
      </w:r>
    </w:p>
    <w:p w14:paraId="75BE85D7" w14:textId="77777777" w:rsidR="00A37EC2" w:rsidRDefault="00000000">
      <w:pPr>
        <w:pStyle w:val="BodyText"/>
        <w:rPr>
          <w:rFonts w:hint="eastAsia"/>
          <w:szCs w:val="22"/>
        </w:rPr>
      </w:pPr>
      <w:r>
        <w:rPr>
          <w:szCs w:val="22"/>
        </w:rPr>
        <w:t xml:space="preserve">10,000pp of evidence of harm entered into the public record for the EHT/CHD vs. FCC lawsuit. The FCC lost their case 2021. Guidelines do not adequately consider the science of </w:t>
      </w:r>
      <w:proofErr w:type="spellStart"/>
      <w:r>
        <w:rPr>
          <w:szCs w:val="22"/>
        </w:rPr>
        <w:t>non thermal</w:t>
      </w:r>
      <w:proofErr w:type="spellEnd"/>
      <w:r>
        <w:rPr>
          <w:szCs w:val="22"/>
        </w:rPr>
        <w:t xml:space="preserve"> effects and reports of </w:t>
      </w:r>
      <w:proofErr w:type="spellStart"/>
      <w:r>
        <w:rPr>
          <w:szCs w:val="22"/>
        </w:rPr>
        <w:t>Electrohypersensitivity</w:t>
      </w:r>
      <w:proofErr w:type="spellEnd"/>
      <w:r>
        <w:rPr>
          <w:szCs w:val="22"/>
        </w:rPr>
        <w:t>.</w:t>
      </w:r>
    </w:p>
    <w:p w14:paraId="29218051" w14:textId="77777777" w:rsidR="00A37EC2" w:rsidRDefault="00000000">
      <w:pPr>
        <w:rPr>
          <w:rFonts w:hint="eastAsia"/>
        </w:rPr>
      </w:pPr>
      <w:hyperlink r:id="rId19">
        <w:r>
          <w:rPr>
            <w:rStyle w:val="Hyperlink"/>
            <w:rFonts w:cs="Arial"/>
            <w:sz w:val="22"/>
            <w:szCs w:val="22"/>
            <w:u w:val="none"/>
            <w:shd w:val="clear" w:color="auto" w:fill="FFFFFF"/>
            <w:lang w:bidi="ar-SA"/>
          </w:rPr>
          <w:t>https://ehtrust.org/environmental-health-trust-et-al-v-fcc-key-documents/</w:t>
        </w:r>
      </w:hyperlink>
    </w:p>
    <w:p w14:paraId="05447CF8" w14:textId="77777777" w:rsidR="00A37EC2" w:rsidRDefault="00A37EC2">
      <w:pPr>
        <w:rPr>
          <w:rFonts w:cs="Arial" w:hint="eastAsia"/>
          <w:color w:val="00007F"/>
          <w:sz w:val="22"/>
          <w:szCs w:val="22"/>
          <w:shd w:val="clear" w:color="auto" w:fill="FFFFFF"/>
        </w:rPr>
      </w:pPr>
    </w:p>
    <w:p w14:paraId="2F7AEBE5" w14:textId="0B2AA271" w:rsidR="00A37EC2" w:rsidRDefault="00000000">
      <w:pPr>
        <w:pStyle w:val="Heading3"/>
        <w:rPr>
          <w:rFonts w:hint="eastAsia"/>
          <w:sz w:val="24"/>
          <w:szCs w:val="24"/>
        </w:rPr>
      </w:pPr>
      <w:bookmarkStart w:id="27" w:name="_Toc210846961"/>
      <w:r>
        <w:rPr>
          <w:rFonts w:cs="Arial"/>
          <w:color w:val="2A6099"/>
          <w:sz w:val="24"/>
          <w:szCs w:val="24"/>
          <w:shd w:val="clear" w:color="auto" w:fill="FFFFFF"/>
        </w:rPr>
        <w:lastRenderedPageBreak/>
        <w:t xml:space="preserve">A2.9 </w:t>
      </w:r>
      <w:r>
        <w:rPr>
          <w:rFonts w:cs="Arial"/>
          <w:color w:val="2A6099"/>
          <w:sz w:val="24"/>
          <w:szCs w:val="24"/>
        </w:rPr>
        <w:t>CHILDREN ARE MORE VULNERABLE TO MICROWAVE RADIATION</w:t>
      </w:r>
      <w:bookmarkEnd w:id="27"/>
      <w:r>
        <w:rPr>
          <w:rFonts w:cs="Arial"/>
          <w:color w:val="2A6099"/>
          <w:sz w:val="24"/>
          <w:szCs w:val="24"/>
        </w:rPr>
        <w:t xml:space="preserve"> </w:t>
      </w:r>
    </w:p>
    <w:p w14:paraId="19B873B4" w14:textId="77777777" w:rsidR="00A37EC2" w:rsidRDefault="00000000">
      <w:pPr>
        <w:pStyle w:val="BodyText"/>
        <w:rPr>
          <w:rFonts w:hint="eastAsia"/>
        </w:rPr>
      </w:pPr>
      <w:bookmarkStart w:id="28" w:name="__RefHeading___Toc6956_2626648583"/>
      <w:bookmarkEnd w:id="28"/>
      <w:r>
        <w:rPr>
          <w:rFonts w:cs="Arial"/>
          <w:color w:val="000000"/>
        </w:rPr>
        <w:t xml:space="preserve">Children are more </w:t>
      </w:r>
      <w:proofErr w:type="spellStart"/>
      <w:r>
        <w:rPr>
          <w:rFonts w:cs="Arial"/>
          <w:color w:val="000000"/>
        </w:rPr>
        <w:t>vulnerale</w:t>
      </w:r>
      <w:proofErr w:type="spellEnd"/>
      <w:r>
        <w:rPr>
          <w:rFonts w:cs="Arial"/>
          <w:color w:val="000000"/>
        </w:rPr>
        <w:t xml:space="preserve"> </w:t>
      </w:r>
      <w:r>
        <w:rPr>
          <w:rFonts w:cs="Arial"/>
        </w:rPr>
        <w:t>than adults, see for example, Prof Tom Butler, "On the Clear Evidence of the Risks to Children from Non-Ionizing Radio-frequency Radiation"</w:t>
      </w:r>
    </w:p>
    <w:p w14:paraId="543B8D1E" w14:textId="77777777" w:rsidR="00A37EC2"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hyperlink r:id="rId20">
        <w:r>
          <w:rPr>
            <w:rStyle w:val="Hyperlink"/>
            <w:rFonts w:cs="Arial"/>
            <w:sz w:val="22"/>
            <w:szCs w:val="22"/>
            <w:u w:val="none"/>
            <w:lang w:bidi="ar-SA"/>
          </w:rPr>
          <w:t>www.radiationresearch.org/articles/on-the-clear-evidence-of-the-risks-to-children-from-non-ionizing-radio-frequency-radiation-the-case-of-digital-technologies-in-the-home-classroom-and-society/</w:t>
        </w:r>
      </w:hyperlink>
    </w:p>
    <w:p w14:paraId="0BA191BE" w14:textId="77777777" w:rsidR="00A37EC2" w:rsidRDefault="00A37E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hint="eastAsia"/>
          <w:color w:val="1F6BC0"/>
          <w:sz w:val="22"/>
          <w:szCs w:val="22"/>
        </w:rPr>
      </w:pPr>
    </w:p>
    <w:p w14:paraId="5060D155" w14:textId="3F0A59FA" w:rsidR="00A37EC2" w:rsidRDefault="00000000">
      <w:pPr>
        <w:pStyle w:val="Heading3"/>
        <w:rPr>
          <w:rFonts w:hint="eastAsia"/>
          <w:sz w:val="24"/>
          <w:szCs w:val="24"/>
        </w:rPr>
      </w:pPr>
      <w:bookmarkStart w:id="29" w:name="_Toc210846962"/>
      <w:proofErr w:type="gramStart"/>
      <w:r>
        <w:rPr>
          <w:rFonts w:cs="Arial"/>
          <w:color w:val="2A6099"/>
          <w:sz w:val="24"/>
          <w:szCs w:val="24"/>
        </w:rPr>
        <w:t>A2.10</w:t>
      </w:r>
      <w:r w:rsidR="00C56FEA">
        <w:rPr>
          <w:rFonts w:cs="Arial"/>
          <w:color w:val="2A6099"/>
          <w:sz w:val="24"/>
          <w:szCs w:val="24"/>
        </w:rPr>
        <w:t xml:space="preserve"> </w:t>
      </w:r>
      <w:r>
        <w:rPr>
          <w:rFonts w:cs="Arial"/>
          <w:color w:val="2A6099"/>
          <w:sz w:val="24"/>
          <w:szCs w:val="24"/>
        </w:rPr>
        <w:t xml:space="preserve"> PROFESSOR</w:t>
      </w:r>
      <w:proofErr w:type="gramEnd"/>
      <w:r>
        <w:rPr>
          <w:rFonts w:cs="Arial"/>
          <w:color w:val="2A6099"/>
          <w:sz w:val="24"/>
          <w:szCs w:val="24"/>
        </w:rPr>
        <w:t xml:space="preserve"> FRANK, UNIVERSITY OF EDINBURGH</w:t>
      </w:r>
      <w:bookmarkEnd w:id="29"/>
      <w:r>
        <w:rPr>
          <w:rFonts w:cs="Arial"/>
          <w:color w:val="2A6099"/>
          <w:sz w:val="24"/>
          <w:szCs w:val="24"/>
        </w:rPr>
        <w:t xml:space="preserve"> </w:t>
      </w:r>
    </w:p>
    <w:p w14:paraId="2D4B8345" w14:textId="77777777" w:rsidR="00A37EC2" w:rsidRDefault="00000000">
      <w:pPr>
        <w:pStyle w:val="BodyText"/>
        <w:rPr>
          <w:rFonts w:hint="eastAsia"/>
        </w:rPr>
      </w:pPr>
      <w:bookmarkStart w:id="30" w:name="__RefHeading___Toc6958_2626648583"/>
      <w:bookmarkEnd w:id="30"/>
      <w:r>
        <w:rPr>
          <w:rFonts w:cs="Arial"/>
          <w:color w:val="443205"/>
        </w:rPr>
        <w:t xml:space="preserve">5G uses a broader spectrum and higher frequency radio waves, with phased array technology and is unevaluated, in terms of </w:t>
      </w:r>
      <w:proofErr w:type="spellStart"/>
      <w:proofErr w:type="gramStart"/>
      <w:r>
        <w:rPr>
          <w:rFonts w:cs="Arial"/>
          <w:color w:val="443205"/>
        </w:rPr>
        <w:t>safety</w:t>
      </w:r>
      <w:r>
        <w:rPr>
          <w:rFonts w:cs="Arial"/>
          <w:color w:val="2A6099"/>
        </w:rPr>
        <w:t>.</w:t>
      </w:r>
      <w:r>
        <w:rPr>
          <w:rFonts w:cs="Arial"/>
        </w:rPr>
        <w:t>Transmitter</w:t>
      </w:r>
      <w:proofErr w:type="spellEnd"/>
      <w:proofErr w:type="gramEnd"/>
      <w:r>
        <w:rPr>
          <w:rFonts w:cs="Arial"/>
        </w:rPr>
        <w:t xml:space="preserve"> density required for 5G means that more people will be exposed to radio frequency electromagnetic fields (RF-EMFs), and at levels that emerging evidence suggests, are potentially harmful to health, argues </w:t>
      </w:r>
    </w:p>
    <w:p w14:paraId="44F7BC4B" w14:textId="77777777" w:rsidR="00A37EC2"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hyperlink r:id="rId21">
        <w:r>
          <w:rPr>
            <w:rStyle w:val="Hyperlink"/>
            <w:rFonts w:cs="Arial"/>
            <w:sz w:val="22"/>
            <w:szCs w:val="22"/>
            <w:u w:val="none"/>
            <w:lang w:bidi="ar-SA"/>
          </w:rPr>
          <w:t>www.bmj.com/company/newsroom/stop-global-roll-out-of-5g-networks-until-safety-is-confirmed-urges-expert/</w:t>
        </w:r>
      </w:hyperlink>
    </w:p>
    <w:p w14:paraId="6EFF54FF" w14:textId="77777777" w:rsidR="00A37EC2" w:rsidRDefault="00A37E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hint="eastAsia"/>
          <w:color w:val="1F6BC0"/>
          <w:sz w:val="22"/>
          <w:szCs w:val="22"/>
        </w:rPr>
      </w:pPr>
    </w:p>
    <w:p w14:paraId="546CACFA" w14:textId="6F5C9A2C" w:rsidR="00A37EC2" w:rsidRDefault="00000000">
      <w:pPr>
        <w:pStyle w:val="Heading3"/>
        <w:rPr>
          <w:rFonts w:cs="Arial" w:hint="eastAsia"/>
          <w:color w:val="2A6099"/>
          <w:sz w:val="24"/>
          <w:szCs w:val="24"/>
        </w:rPr>
      </w:pPr>
      <w:bookmarkStart w:id="31" w:name="_Toc210846963"/>
      <w:proofErr w:type="gramStart"/>
      <w:r>
        <w:rPr>
          <w:rFonts w:cs="Arial"/>
          <w:color w:val="2A6099"/>
          <w:sz w:val="24"/>
          <w:szCs w:val="24"/>
        </w:rPr>
        <w:t>A2.11</w:t>
      </w:r>
      <w:r w:rsidR="00C56FEA">
        <w:rPr>
          <w:rFonts w:cs="Arial"/>
          <w:color w:val="2A6099"/>
          <w:sz w:val="24"/>
          <w:szCs w:val="24"/>
        </w:rPr>
        <w:t xml:space="preserve">  </w:t>
      </w:r>
      <w:r>
        <w:rPr>
          <w:rFonts w:cs="Arial"/>
          <w:color w:val="2A6099"/>
          <w:sz w:val="24"/>
          <w:szCs w:val="24"/>
        </w:rPr>
        <w:t>BUGS</w:t>
      </w:r>
      <w:proofErr w:type="gramEnd"/>
      <w:r>
        <w:rPr>
          <w:rFonts w:cs="Arial"/>
          <w:color w:val="2A6099"/>
          <w:sz w:val="24"/>
          <w:szCs w:val="24"/>
        </w:rPr>
        <w:t xml:space="preserve"> MATTER SURVEY</w:t>
      </w:r>
      <w:bookmarkEnd w:id="31"/>
    </w:p>
    <w:p w14:paraId="6834D3DA" w14:textId="77777777" w:rsidR="00A37EC2" w:rsidRDefault="00000000">
      <w:pPr>
        <w:pStyle w:val="BodyText"/>
        <w:rPr>
          <w:rFonts w:hint="eastAsia"/>
        </w:rPr>
      </w:pPr>
      <w:r>
        <w:t xml:space="preserve"> ‘Bugs Matter survey finds that UK flying insects have declined by nearly 60% in less than 20 </w:t>
      </w:r>
      <w:proofErr w:type="gramStart"/>
      <w:r>
        <w:t>years“ May</w:t>
      </w:r>
      <w:proofErr w:type="gramEnd"/>
      <w:r>
        <w:t xml:space="preserve"> 2022</w:t>
      </w:r>
    </w:p>
    <w:p w14:paraId="4DB034A7" w14:textId="77777777" w:rsidR="00A37EC2" w:rsidRDefault="00000000">
      <w:pPr>
        <w:pStyle w:val="BodyText"/>
        <w:rPr>
          <w:rFonts w:hint="eastAsia"/>
        </w:rPr>
      </w:pPr>
      <w:hyperlink r:id="rId22">
        <w:r>
          <w:rPr>
            <w:rStyle w:val="Hyperlink"/>
            <w:rFonts w:eastAsia="Arial Unicode MS" w:cs="Arial"/>
            <w:szCs w:val="22"/>
            <w:u w:val="none"/>
          </w:rPr>
          <w:t>https://actionagainst5g.org/news/ecological-threat-of-rfr-and-5g/</w:t>
        </w:r>
      </w:hyperlink>
      <w:r>
        <w:rPr>
          <w:rFonts w:cs="Arial"/>
          <w:szCs w:val="22"/>
        </w:rPr>
        <w:t xml:space="preserve"> </w:t>
      </w:r>
    </w:p>
    <w:p w14:paraId="7BE0B811" w14:textId="77777777" w:rsidR="00A37EC2" w:rsidRDefault="00000000">
      <w:pPr>
        <w:pStyle w:val="BodyText"/>
        <w:rPr>
          <w:rFonts w:hint="eastAsia"/>
        </w:rPr>
      </w:pPr>
      <w:proofErr w:type="spellStart"/>
      <w:r>
        <w:t>Vibeke</w:t>
      </w:r>
      <w:proofErr w:type="spellEnd"/>
      <w:r>
        <w:t xml:space="preserve"> </w:t>
      </w:r>
      <w:proofErr w:type="spellStart"/>
      <w:r>
        <w:t>Frøkjær</w:t>
      </w:r>
      <w:proofErr w:type="spellEnd"/>
      <w:r>
        <w:t xml:space="preserve"> Jensen DVM PhD (radiology and genetics) “The impact of RFR exposure on insects”</w:t>
      </w:r>
    </w:p>
    <w:p w14:paraId="7702565D" w14:textId="77777777" w:rsidR="00A37EC2" w:rsidRDefault="00000000">
      <w:pPr>
        <w:pStyle w:val="BodyText"/>
        <w:rPr>
          <w:rFonts w:hint="eastAsia"/>
        </w:rPr>
      </w:pPr>
      <w:hyperlink r:id="rId23">
        <w:r>
          <w:rPr>
            <w:rStyle w:val="Hyperlink"/>
          </w:rPr>
          <w:t>https://www.frontiersin.org/articles/10.3389/fpubh.2022.1000840/full</w:t>
        </w:r>
      </w:hyperlink>
    </w:p>
    <w:p w14:paraId="2FB82718" w14:textId="77777777" w:rsidR="00A37EC2" w:rsidRDefault="00000000">
      <w:pPr>
        <w:pStyle w:val="BodyText"/>
        <w:rPr>
          <w:rFonts w:hint="eastAsia"/>
        </w:rPr>
      </w:pPr>
      <w:r>
        <w:t>Low-level EMF effects on wildlife and plants: What research tells us about an ecosystem approach.</w:t>
      </w:r>
    </w:p>
    <w:p w14:paraId="4BBC5E20" w14:textId="77777777" w:rsidR="00C56FEA" w:rsidRDefault="00C56FEA">
      <w:pPr>
        <w:pStyle w:val="Heading3"/>
        <w:rPr>
          <w:rFonts w:cs="Arial"/>
          <w:color w:val="2A6099"/>
          <w:sz w:val="24"/>
          <w:szCs w:val="24"/>
        </w:rPr>
      </w:pPr>
    </w:p>
    <w:p w14:paraId="46C0A08E" w14:textId="1884C0C3" w:rsidR="00A37EC2" w:rsidRDefault="00000000">
      <w:pPr>
        <w:pStyle w:val="Heading3"/>
        <w:rPr>
          <w:rFonts w:cs="Arial" w:hint="eastAsia"/>
          <w:color w:val="2A6099"/>
          <w:sz w:val="24"/>
          <w:szCs w:val="24"/>
        </w:rPr>
      </w:pPr>
      <w:bookmarkStart w:id="32" w:name="_Toc210846964"/>
      <w:proofErr w:type="gramStart"/>
      <w:r>
        <w:rPr>
          <w:rFonts w:cs="Arial"/>
          <w:color w:val="2A6099"/>
          <w:sz w:val="24"/>
          <w:szCs w:val="24"/>
        </w:rPr>
        <w:t>A2.12</w:t>
      </w:r>
      <w:r w:rsidR="00C56FEA">
        <w:rPr>
          <w:rFonts w:cs="Arial"/>
          <w:color w:val="2A6099"/>
          <w:sz w:val="24"/>
          <w:szCs w:val="24"/>
        </w:rPr>
        <w:t xml:space="preserve"> </w:t>
      </w:r>
      <w:r>
        <w:rPr>
          <w:rFonts w:cs="Arial"/>
          <w:color w:val="2A6099"/>
          <w:sz w:val="24"/>
          <w:szCs w:val="24"/>
        </w:rPr>
        <w:t xml:space="preserve"> OFCOM</w:t>
      </w:r>
      <w:proofErr w:type="gramEnd"/>
      <w:r>
        <w:rPr>
          <w:rFonts w:cs="Arial"/>
          <w:color w:val="2A6099"/>
          <w:sz w:val="24"/>
          <w:szCs w:val="24"/>
        </w:rPr>
        <w:t xml:space="preserve"> 5G SURVEYS ARE EXPERIMENTAL</w:t>
      </w:r>
      <w:bookmarkEnd w:id="32"/>
    </w:p>
    <w:p w14:paraId="66DC4372" w14:textId="77777777" w:rsidR="00A37EC2" w:rsidRDefault="00000000">
      <w:pPr>
        <w:pStyle w:val="BodyText"/>
        <w:rPr>
          <w:rFonts w:hint="eastAsia"/>
        </w:rPr>
      </w:pPr>
      <w:r>
        <w:t>Luxembourg Institute of Science and Technology (LIST) July 2023 ‘A Survey on EMF-Aware Mobile Network Planning’ SÉBASTIEN FAYE. ‘As of 2021, the measuring methods are mostly based on static antenna patterns, whereas 5G antennas are dynamic. Therefore, it is necessary to revise the current EMF measuring techniques to assess the exposure resulting from 5G antennas.’ &amp; ‘To verify that 5G base stations remained within the EMF</w:t>
      </w:r>
    </w:p>
    <w:p w14:paraId="2B1460C8" w14:textId="77777777" w:rsidR="00A37EC2" w:rsidRDefault="00000000">
      <w:pPr>
        <w:pStyle w:val="BodyText"/>
        <w:rPr>
          <w:rFonts w:hint="eastAsia"/>
        </w:rPr>
      </w:pPr>
      <w:r>
        <w:t>emission limits set out in the guidelines from ICNIRP,</w:t>
      </w:r>
    </w:p>
    <w:p w14:paraId="47D18F81" w14:textId="77777777" w:rsidR="00A37EC2" w:rsidRDefault="00000000">
      <w:pPr>
        <w:pStyle w:val="BodyText"/>
        <w:rPr>
          <w:rFonts w:hint="eastAsia"/>
        </w:rPr>
      </w:pPr>
      <w:r>
        <w:t>Ofcom [41]</w:t>
      </w:r>
      <w:r>
        <w:rPr>
          <w:b/>
          <w:bCs/>
        </w:rPr>
        <w:t xml:space="preserve"> conducted an experiment</w:t>
      </w:r>
      <w:r>
        <w:t xml:space="preserve"> that included measurements at 22 UK sites. ….’</w:t>
      </w:r>
    </w:p>
    <w:p w14:paraId="4D7B2034" w14:textId="77777777" w:rsidR="00A37EC2" w:rsidRDefault="00000000">
      <w:pPr>
        <w:spacing w:before="100" w:after="100"/>
        <w:rPr>
          <w:rFonts w:hint="eastAsia"/>
        </w:rPr>
      </w:pPr>
      <w:hyperlink r:id="rId24">
        <w:r>
          <w:rPr>
            <w:rStyle w:val="Hyperlink"/>
            <w:rFonts w:eastAsia="Microsoft YaHei" w:cs="Arial"/>
            <w:b/>
            <w:bCs/>
            <w:color w:val="443205"/>
            <w:sz w:val="22"/>
            <w:szCs w:val="22"/>
            <w:u w:val="none"/>
          </w:rPr>
          <w:t>https://ieeexplore.ieee.org/stamp/stamp.jsp?tp=&amp;arnumber=10215090</w:t>
        </w:r>
      </w:hyperlink>
    </w:p>
    <w:p w14:paraId="154DF397" w14:textId="77777777" w:rsidR="00C56FEA" w:rsidRPr="00C56FEA" w:rsidRDefault="00C56FEA">
      <w:pPr>
        <w:pStyle w:val="Heading3"/>
        <w:rPr>
          <w:color w:val="2A6099"/>
          <w:sz w:val="24"/>
          <w:szCs w:val="24"/>
        </w:rPr>
      </w:pPr>
    </w:p>
    <w:p w14:paraId="078F4AA7" w14:textId="6B7D4DC0" w:rsidR="00A37EC2" w:rsidRDefault="00000000">
      <w:pPr>
        <w:pStyle w:val="Heading3"/>
        <w:rPr>
          <w:rFonts w:hint="eastAsia"/>
          <w:color w:val="2A6099"/>
          <w:sz w:val="24"/>
          <w:szCs w:val="24"/>
        </w:rPr>
      </w:pPr>
      <w:bookmarkStart w:id="33" w:name="_Toc210846965"/>
      <w:proofErr w:type="gramStart"/>
      <w:r>
        <w:rPr>
          <w:rFonts w:cs="Arial"/>
          <w:color w:val="2A6099"/>
          <w:sz w:val="24"/>
          <w:szCs w:val="24"/>
        </w:rPr>
        <w:t>A2.13</w:t>
      </w:r>
      <w:r w:rsidR="00C56FEA">
        <w:rPr>
          <w:rFonts w:cs="Arial"/>
          <w:color w:val="2A6099"/>
          <w:sz w:val="24"/>
          <w:szCs w:val="24"/>
        </w:rPr>
        <w:t xml:space="preserve">  </w:t>
      </w:r>
      <w:r>
        <w:rPr>
          <w:rFonts w:cs="Arial"/>
          <w:color w:val="2A6099"/>
          <w:sz w:val="24"/>
          <w:szCs w:val="24"/>
        </w:rPr>
        <w:t>EHS</w:t>
      </w:r>
      <w:proofErr w:type="gramEnd"/>
      <w:r>
        <w:rPr>
          <w:rFonts w:cs="Arial"/>
          <w:color w:val="2A6099"/>
          <w:sz w:val="24"/>
          <w:szCs w:val="24"/>
        </w:rPr>
        <w:t xml:space="preserve"> RECOGNITION</w:t>
      </w:r>
      <w:bookmarkEnd w:id="33"/>
    </w:p>
    <w:p w14:paraId="1F2FA164" w14:textId="77777777" w:rsidR="00A37EC2" w:rsidRDefault="00000000">
      <w:pPr>
        <w:rPr>
          <w:rFonts w:hint="eastAsia"/>
          <w:b/>
          <w:bCs/>
          <w:color w:val="3465A4"/>
          <w:sz w:val="22"/>
          <w:szCs w:val="22"/>
        </w:rPr>
      </w:pPr>
      <w:r>
        <w:rPr>
          <w:rFonts w:cs="Arial"/>
          <w:b/>
          <w:bCs/>
          <w:color w:val="3465A4"/>
          <w:sz w:val="22"/>
          <w:szCs w:val="22"/>
        </w:rPr>
        <w:t>A2.13.1) UK AWARDS</w:t>
      </w:r>
    </w:p>
    <w:p w14:paraId="014F4011" w14:textId="77777777" w:rsidR="00A37EC2" w:rsidRDefault="00000000">
      <w:pPr>
        <w:rPr>
          <w:rFonts w:hint="eastAsia"/>
          <w:sz w:val="22"/>
          <w:szCs w:val="22"/>
        </w:rPr>
      </w:pPr>
      <w:r>
        <w:rPr>
          <w:rFonts w:cs="Arial"/>
          <w:color w:val="000000"/>
          <w:sz w:val="22"/>
          <w:szCs w:val="22"/>
        </w:rPr>
        <w:t>An</w:t>
      </w:r>
      <w:r>
        <w:rPr>
          <w:rFonts w:cs="Arial"/>
          <w:b/>
          <w:bCs/>
          <w:color w:val="000000"/>
          <w:sz w:val="22"/>
          <w:szCs w:val="22"/>
        </w:rPr>
        <w:t xml:space="preserve"> Education Health Care Plan</w:t>
      </w:r>
      <w:r>
        <w:rPr>
          <w:rFonts w:cs="Arial"/>
          <w:color w:val="000000"/>
          <w:sz w:val="22"/>
          <w:szCs w:val="22"/>
        </w:rPr>
        <w:t xml:space="preserve"> (EHCP) was awarded (July 2022) for a child </w:t>
      </w:r>
      <w:proofErr w:type="gramStart"/>
      <w:r>
        <w:rPr>
          <w:rFonts w:cs="Arial"/>
          <w:color w:val="000000"/>
          <w:sz w:val="22"/>
          <w:szCs w:val="22"/>
        </w:rPr>
        <w:t>on the basis of</w:t>
      </w:r>
      <w:proofErr w:type="gramEnd"/>
      <w:r>
        <w:rPr>
          <w:rFonts w:cs="Arial"/>
          <w:color w:val="000000"/>
          <w:sz w:val="22"/>
          <w:szCs w:val="22"/>
        </w:rPr>
        <w:t xml:space="preserve"> Electromagnetic Hypersensitivity (EHS) in August 2022 in the Upper Tribunal Court. High court precedent setting.</w:t>
      </w:r>
    </w:p>
    <w:p w14:paraId="58596B45" w14:textId="77777777" w:rsidR="00A37EC2" w:rsidRDefault="00000000">
      <w:pPr>
        <w:rPr>
          <w:rFonts w:hint="eastAsia"/>
          <w:sz w:val="22"/>
          <w:szCs w:val="22"/>
        </w:rPr>
      </w:pPr>
      <w:proofErr w:type="gramStart"/>
      <w:r>
        <w:rPr>
          <w:rFonts w:cs="Arial"/>
          <w:color w:val="000000"/>
          <w:sz w:val="22"/>
          <w:szCs w:val="22"/>
        </w:rPr>
        <w:t>An</w:t>
      </w:r>
      <w:proofErr w:type="gramEnd"/>
      <w:r>
        <w:rPr>
          <w:rFonts w:cs="Arial"/>
          <w:color w:val="000000"/>
          <w:sz w:val="22"/>
          <w:szCs w:val="22"/>
        </w:rPr>
        <w:t xml:space="preserve"> 59 year old social worker was awarded an ‘early ill health retirement’ for disabling ‘Electromagnetic Hypersensitivity (EHS) on15th June 2022 </w:t>
      </w:r>
    </w:p>
    <w:p w14:paraId="79751E84" w14:textId="77777777" w:rsidR="00A37EC2" w:rsidRDefault="00000000">
      <w:pPr>
        <w:rPr>
          <w:rFonts w:hint="eastAsia"/>
          <w:sz w:val="22"/>
          <w:szCs w:val="22"/>
        </w:rPr>
      </w:pPr>
      <w:r>
        <w:rPr>
          <w:rFonts w:cs="Arial"/>
          <w:color w:val="000000"/>
          <w:sz w:val="22"/>
          <w:szCs w:val="22"/>
        </w:rPr>
        <w:t>Claimant successfully</w:t>
      </w:r>
      <w:r>
        <w:rPr>
          <w:rFonts w:cs="Arial"/>
          <w:b/>
          <w:bCs/>
          <w:color w:val="000000"/>
          <w:sz w:val="22"/>
          <w:szCs w:val="22"/>
        </w:rPr>
        <w:t xml:space="preserve"> wins Appeal for Universal Credit</w:t>
      </w:r>
      <w:r>
        <w:rPr>
          <w:rFonts w:cs="Arial"/>
          <w:color w:val="000000"/>
          <w:sz w:val="22"/>
          <w:szCs w:val="22"/>
        </w:rPr>
        <w:t xml:space="preserve"> on the grounds of Electromagnetic Hypersensitivity (EHS),</w:t>
      </w:r>
    </w:p>
    <w:p w14:paraId="1D209B33" w14:textId="77777777" w:rsidR="00A37EC2" w:rsidRDefault="00000000">
      <w:pPr>
        <w:rPr>
          <w:rFonts w:hint="eastAsia"/>
          <w:sz w:val="22"/>
          <w:szCs w:val="22"/>
        </w:rPr>
      </w:pPr>
      <w:r>
        <w:rPr>
          <w:rFonts w:cs="Arial"/>
          <w:color w:val="000000"/>
          <w:sz w:val="22"/>
          <w:szCs w:val="22"/>
        </w:rPr>
        <w:t xml:space="preserve"> </w:t>
      </w:r>
      <w:hyperlink r:id="rId25">
        <w:r>
          <w:rPr>
            <w:rStyle w:val="Hyperlink"/>
            <w:rFonts w:cs="Arial"/>
            <w:color w:val="000000"/>
            <w:sz w:val="22"/>
            <w:szCs w:val="22"/>
            <w:u w:val="none"/>
          </w:rPr>
          <w:t>https://assets.publishing.service.gov.uk/media/62f3997ed3bf7f5c11330ea3/ua-2022-000328-hs__002_.pdf</w:t>
        </w:r>
      </w:hyperlink>
    </w:p>
    <w:p w14:paraId="06EEC714" w14:textId="77777777" w:rsidR="00A37EC2" w:rsidRDefault="00000000">
      <w:pPr>
        <w:rPr>
          <w:rFonts w:hint="eastAsia"/>
          <w:sz w:val="22"/>
          <w:szCs w:val="22"/>
        </w:rPr>
      </w:pPr>
      <w:hyperlink r:id="rId26">
        <w:r>
          <w:rPr>
            <w:rStyle w:val="Hyperlink"/>
            <w:rFonts w:cs="Arial"/>
            <w:color w:val="000000"/>
            <w:sz w:val="22"/>
            <w:szCs w:val="22"/>
            <w:u w:val="none"/>
          </w:rPr>
          <w:t>https://phiremedical.org/news/</w:t>
        </w:r>
      </w:hyperlink>
    </w:p>
    <w:p w14:paraId="1157EBB0" w14:textId="77777777" w:rsidR="00A37EC2" w:rsidRDefault="00000000">
      <w:pPr>
        <w:rPr>
          <w:rFonts w:hint="eastAsia"/>
          <w:sz w:val="22"/>
          <w:szCs w:val="22"/>
        </w:rPr>
      </w:pPr>
      <w:r>
        <w:rPr>
          <w:rFonts w:cs="Arial"/>
          <w:color w:val="000000"/>
          <w:sz w:val="22"/>
          <w:szCs w:val="22"/>
        </w:rPr>
        <w:t xml:space="preserve"> </w:t>
      </w:r>
    </w:p>
    <w:p w14:paraId="74F972DC" w14:textId="77777777" w:rsidR="00A37EC2" w:rsidRDefault="00000000">
      <w:pPr>
        <w:rPr>
          <w:rFonts w:hint="eastAsia"/>
          <w:sz w:val="22"/>
          <w:szCs w:val="22"/>
        </w:rPr>
      </w:pPr>
      <w:r>
        <w:rPr>
          <w:rFonts w:cs="Arial"/>
          <w:b/>
          <w:bCs/>
          <w:i/>
          <w:iCs/>
          <w:color w:val="2A6099"/>
          <w:sz w:val="22"/>
          <w:szCs w:val="22"/>
        </w:rPr>
        <w:t>A2.13.2</w:t>
      </w:r>
      <w:proofErr w:type="gramStart"/>
      <w:r>
        <w:rPr>
          <w:rFonts w:cs="Arial"/>
          <w:b/>
          <w:bCs/>
          <w:i/>
          <w:iCs/>
          <w:color w:val="2A6099"/>
          <w:sz w:val="22"/>
          <w:szCs w:val="22"/>
        </w:rPr>
        <w:t xml:space="preserve">) </w:t>
      </w:r>
      <w:r>
        <w:rPr>
          <w:rFonts w:cs="Arial"/>
          <w:b/>
          <w:bCs/>
          <w:i/>
          <w:iCs/>
          <w:color w:val="000000"/>
          <w:sz w:val="22"/>
          <w:szCs w:val="22"/>
        </w:rPr>
        <w:t xml:space="preserve"> ‘</w:t>
      </w:r>
      <w:proofErr w:type="spellStart"/>
      <w:proofErr w:type="gramEnd"/>
      <w:r>
        <w:rPr>
          <w:rFonts w:cs="Arial"/>
          <w:b/>
          <w:bCs/>
          <w:i/>
          <w:iCs/>
          <w:color w:val="000000"/>
          <w:sz w:val="22"/>
          <w:szCs w:val="22"/>
        </w:rPr>
        <w:t>Electrohypersensitivity</w:t>
      </w:r>
      <w:proofErr w:type="spellEnd"/>
      <w:r>
        <w:rPr>
          <w:rFonts w:cs="Arial"/>
          <w:b/>
          <w:bCs/>
          <w:i/>
          <w:iCs/>
          <w:color w:val="000000"/>
          <w:sz w:val="22"/>
          <w:szCs w:val="22"/>
        </w:rPr>
        <w:t xml:space="preserve"> (EHS) is an Environmentally-Induced Disability that Requires Immediate Attention</w:t>
      </w:r>
      <w:r>
        <w:rPr>
          <w:rFonts w:cs="Arial"/>
          <w:b/>
          <w:bCs/>
          <w:color w:val="000000"/>
          <w:sz w:val="22"/>
          <w:szCs w:val="22"/>
        </w:rPr>
        <w:t xml:space="preserve">’ Magda Havas’ (2019)  </w:t>
      </w:r>
      <w:r>
        <w:rPr>
          <w:rFonts w:cs="Arial"/>
          <w:color w:val="000000"/>
          <w:sz w:val="22"/>
          <w:szCs w:val="22"/>
        </w:rPr>
        <w:t>https://www.icnirp.org/cms/upload/publications/ICNIRPemfgdl.pdf</w:t>
      </w:r>
    </w:p>
    <w:p w14:paraId="20B85D68" w14:textId="77777777" w:rsidR="00A37EC2" w:rsidRDefault="00000000">
      <w:pPr>
        <w:rPr>
          <w:rFonts w:hint="eastAsia"/>
          <w:sz w:val="22"/>
          <w:szCs w:val="22"/>
        </w:rPr>
      </w:pPr>
      <w:r>
        <w:rPr>
          <w:rFonts w:cs="Arial"/>
          <w:color w:val="000000"/>
          <w:sz w:val="22"/>
          <w:szCs w:val="22"/>
        </w:rPr>
        <w:t xml:space="preserve">‘Each day the number of EHS sufferers </w:t>
      </w:r>
      <w:proofErr w:type="gramStart"/>
      <w:r>
        <w:rPr>
          <w:rFonts w:cs="Arial"/>
          <w:color w:val="000000"/>
          <w:sz w:val="22"/>
          <w:szCs w:val="22"/>
        </w:rPr>
        <w:t>increases:</w:t>
      </w:r>
      <w:proofErr w:type="gramEnd"/>
      <w:r>
        <w:rPr>
          <w:rFonts w:cs="Arial"/>
          <w:color w:val="000000"/>
          <w:sz w:val="22"/>
          <w:szCs w:val="22"/>
        </w:rPr>
        <w:t xml:space="preserve"> according to new estimates, between 3% and 5% of the population are electro-sensitive’,</w:t>
      </w:r>
    </w:p>
    <w:p w14:paraId="5BE41F71" w14:textId="77777777" w:rsidR="00A37EC2" w:rsidRDefault="00000000">
      <w:pPr>
        <w:spacing w:before="100" w:after="100"/>
        <w:rPr>
          <w:rFonts w:hint="eastAsia"/>
          <w:sz w:val="22"/>
          <w:szCs w:val="22"/>
        </w:rPr>
      </w:pPr>
      <w:r>
        <w:rPr>
          <w:rFonts w:cs="Arial"/>
          <w:color w:val="000000"/>
          <w:sz w:val="22"/>
          <w:szCs w:val="22"/>
        </w:rPr>
        <w:t>Havas (2019 paper, above) reports that,</w:t>
      </w:r>
    </w:p>
    <w:p w14:paraId="599728E3" w14:textId="77777777" w:rsidR="00A37EC2" w:rsidRDefault="00000000">
      <w:pPr>
        <w:spacing w:before="100" w:after="100"/>
        <w:rPr>
          <w:rFonts w:hint="eastAsia"/>
          <w:sz w:val="22"/>
          <w:szCs w:val="22"/>
        </w:rPr>
      </w:pPr>
      <w:r>
        <w:rPr>
          <w:rFonts w:cs="Arial"/>
          <w:color w:val="000000"/>
          <w:sz w:val="22"/>
          <w:szCs w:val="22"/>
        </w:rPr>
        <w:lastRenderedPageBreak/>
        <w:t>‘</w:t>
      </w:r>
      <w:r>
        <w:rPr>
          <w:rFonts w:cs="Arial"/>
          <w:i/>
          <w:iCs/>
          <w:color w:val="000000"/>
          <w:sz w:val="22"/>
          <w:szCs w:val="22"/>
        </w:rPr>
        <w:t xml:space="preserve">a disability is an impairment that may be cognitive, developmental, intellectual, mental, physical, sensory </w:t>
      </w:r>
      <w:proofErr w:type="spellStart"/>
      <w:r>
        <w:rPr>
          <w:rFonts w:cs="Arial"/>
          <w:i/>
          <w:iCs/>
          <w:color w:val="000000"/>
          <w:sz w:val="22"/>
          <w:szCs w:val="22"/>
        </w:rPr>
        <w:t>orsome</w:t>
      </w:r>
      <w:proofErr w:type="spellEnd"/>
      <w:r>
        <w:rPr>
          <w:rFonts w:cs="Arial"/>
          <w:i/>
          <w:iCs/>
          <w:color w:val="000000"/>
          <w:sz w:val="22"/>
          <w:szCs w:val="22"/>
        </w:rPr>
        <w:t xml:space="preserve"> combination of these. It substantially affects a person's life activities and may be present from birth </w:t>
      </w:r>
      <w:proofErr w:type="spellStart"/>
      <w:r>
        <w:rPr>
          <w:rFonts w:cs="Arial"/>
          <w:i/>
          <w:iCs/>
          <w:color w:val="000000"/>
          <w:sz w:val="22"/>
          <w:szCs w:val="22"/>
        </w:rPr>
        <w:t>oroccur</w:t>
      </w:r>
      <w:proofErr w:type="spellEnd"/>
      <w:r>
        <w:rPr>
          <w:rFonts w:cs="Arial"/>
          <w:i/>
          <w:iCs/>
          <w:color w:val="000000"/>
          <w:sz w:val="22"/>
          <w:szCs w:val="22"/>
        </w:rPr>
        <w:t xml:space="preserve"> during a person's lifetime. The EHS symptoms mentioned above include sensory disturbances, physical disturbances, cognitive impairment, </w:t>
      </w:r>
      <w:proofErr w:type="gramStart"/>
      <w:r>
        <w:rPr>
          <w:rFonts w:cs="Arial"/>
          <w:i/>
          <w:iCs/>
          <w:color w:val="000000"/>
          <w:sz w:val="22"/>
          <w:szCs w:val="22"/>
        </w:rPr>
        <w:t>and also</w:t>
      </w:r>
      <w:proofErr w:type="gramEnd"/>
      <w:r>
        <w:rPr>
          <w:rFonts w:cs="Arial"/>
          <w:i/>
          <w:iCs/>
          <w:color w:val="000000"/>
          <w:sz w:val="22"/>
          <w:szCs w:val="22"/>
        </w:rPr>
        <w:t xml:space="preserve"> intellectual, mental and developmental problems that are covered under the definition of disabilities</w:t>
      </w:r>
      <w:r>
        <w:rPr>
          <w:rFonts w:cs="Arial"/>
          <w:color w:val="000000"/>
          <w:sz w:val="22"/>
          <w:szCs w:val="22"/>
        </w:rPr>
        <w:t>’,</w:t>
      </w:r>
    </w:p>
    <w:p w14:paraId="17086974" w14:textId="77777777" w:rsidR="00A37EC2" w:rsidRDefault="00000000">
      <w:pPr>
        <w:spacing w:before="100" w:after="100"/>
        <w:rPr>
          <w:rFonts w:hint="eastAsia"/>
          <w:sz w:val="22"/>
          <w:szCs w:val="22"/>
        </w:rPr>
      </w:pPr>
      <w:r>
        <w:rPr>
          <w:rFonts w:cs="Arial"/>
          <w:color w:val="000000"/>
          <w:sz w:val="22"/>
          <w:szCs w:val="22"/>
        </w:rPr>
        <w:t>The screening for avoidable harm, injury, and nuisance needs to acknowledge and seek to accommodate the needs of people with EHS disability.</w:t>
      </w:r>
    </w:p>
    <w:p w14:paraId="38C24A94" w14:textId="77777777" w:rsidR="00A37EC2" w:rsidRDefault="00000000">
      <w:pPr>
        <w:pStyle w:val="Heading3"/>
        <w:rPr>
          <w:rFonts w:hint="eastAsia"/>
          <w:color w:val="3465A4"/>
          <w:sz w:val="24"/>
          <w:szCs w:val="24"/>
        </w:rPr>
      </w:pPr>
      <w:bookmarkStart w:id="34" w:name="_Toc210846966"/>
      <w:r>
        <w:rPr>
          <w:rFonts w:cs="Arial"/>
          <w:color w:val="3465A4"/>
          <w:sz w:val="24"/>
          <w:szCs w:val="24"/>
        </w:rPr>
        <w:t>A2.14 ICBE-EMF ICNIRP’s FALSE ASSUMPTIONS</w:t>
      </w:r>
      <w:bookmarkEnd w:id="34"/>
    </w:p>
    <w:p w14:paraId="10B3D587" w14:textId="77777777" w:rsidR="00A37EC2" w:rsidRDefault="00000000">
      <w:pPr>
        <w:pStyle w:val="BodyText"/>
        <w:rPr>
          <w:rFonts w:hint="eastAsia"/>
        </w:rPr>
      </w:pPr>
      <w:r>
        <w:t>‘</w:t>
      </w:r>
      <w:r>
        <w:rPr>
          <w:b/>
          <w:bCs/>
        </w:rPr>
        <w:t>Scientific evidence invalidates health assumptions underlying the FCC and ICNIRP exposure limit determinations for radiofrequency radiation: implications for 5G</w:t>
      </w:r>
      <w:r>
        <w:t>’</w:t>
      </w:r>
    </w:p>
    <w:p w14:paraId="5E1353A3" w14:textId="77777777" w:rsidR="00A37EC2" w:rsidRDefault="00000000">
      <w:pPr>
        <w:spacing w:before="100" w:after="100"/>
        <w:rPr>
          <w:rFonts w:hint="eastAsia"/>
          <w:sz w:val="22"/>
          <w:szCs w:val="22"/>
        </w:rPr>
      </w:pPr>
      <w:r>
        <w:rPr>
          <w:rFonts w:cs="Arial"/>
          <w:color w:val="000000"/>
          <w:sz w:val="22"/>
          <w:szCs w:val="22"/>
        </w:rPr>
        <w:t>https://icbe-emf.org/wp-content/uploads/2022/10/ICBE-EMF-paper-12940_2022_900_OnlinePDF_Patched-1.pdf</w:t>
      </w:r>
    </w:p>
    <w:p w14:paraId="267C8BE1" w14:textId="77777777" w:rsidR="00A37EC2" w:rsidRDefault="00A37EC2">
      <w:pPr>
        <w:spacing w:before="100" w:after="100"/>
        <w:rPr>
          <w:rFonts w:cs="Arial" w:hint="eastAsia"/>
          <w:color w:val="000000"/>
        </w:rPr>
      </w:pPr>
    </w:p>
    <w:p w14:paraId="130EED4A" w14:textId="77777777" w:rsidR="00A37EC2" w:rsidRDefault="00A37EC2">
      <w:pPr>
        <w:spacing w:before="100" w:after="100"/>
        <w:ind w:left="720" w:hanging="360"/>
        <w:rPr>
          <w:rFonts w:cs="Arial" w:hint="eastAsia"/>
          <w:color w:val="000000"/>
          <w:sz w:val="22"/>
          <w:szCs w:val="22"/>
        </w:rPr>
      </w:pPr>
    </w:p>
    <w:p w14:paraId="3EB1EC5A" w14:textId="77777777" w:rsidR="00A37EC2" w:rsidRDefault="00A37EC2">
      <w:pPr>
        <w:spacing w:before="100" w:after="100"/>
        <w:ind w:left="720" w:hanging="360"/>
        <w:rPr>
          <w:rFonts w:cs="Arial" w:hint="eastAsia"/>
          <w:color w:val="000000"/>
          <w:sz w:val="22"/>
          <w:szCs w:val="22"/>
        </w:rPr>
      </w:pPr>
    </w:p>
    <w:sectPr w:rsidR="00A37EC2" w:rsidSect="00C56FEA">
      <w:pgSz w:w="11906" w:h="16838"/>
      <w:pgMar w:top="567" w:right="794" w:bottom="567" w:left="79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Arial Unicode MS"/>
    <w:panose1 w:val="020B0604020202020204"/>
    <w:charset w:val="01"/>
    <w:family w:val="auto"/>
    <w:pitch w:val="variable"/>
  </w:font>
  <w:font w:name="Amiri">
    <w:altName w:val="Calibri"/>
    <w:panose1 w:val="020B0604020202020204"/>
    <w:charset w:val="01"/>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0451"/>
    <w:multiLevelType w:val="multilevel"/>
    <w:tmpl w:val="98381D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567076"/>
    <w:multiLevelType w:val="multilevel"/>
    <w:tmpl w:val="5BB21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1D7648"/>
    <w:multiLevelType w:val="multilevel"/>
    <w:tmpl w:val="E4CE6C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F1F30CC"/>
    <w:multiLevelType w:val="multilevel"/>
    <w:tmpl w:val="A3E2C7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D65DA3"/>
    <w:multiLevelType w:val="multilevel"/>
    <w:tmpl w:val="21F623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8875150"/>
    <w:multiLevelType w:val="multilevel"/>
    <w:tmpl w:val="42065C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D0041F4"/>
    <w:multiLevelType w:val="multilevel"/>
    <w:tmpl w:val="F82E9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4D24FE"/>
    <w:multiLevelType w:val="multilevel"/>
    <w:tmpl w:val="958C8F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BDF5A84"/>
    <w:multiLevelType w:val="multilevel"/>
    <w:tmpl w:val="650E2BB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990581"/>
    <w:multiLevelType w:val="multilevel"/>
    <w:tmpl w:val="C088B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232499533">
    <w:abstractNumId w:val="8"/>
  </w:num>
  <w:num w:numId="2" w16cid:durableId="1841890715">
    <w:abstractNumId w:val="1"/>
  </w:num>
  <w:num w:numId="3" w16cid:durableId="1652977771">
    <w:abstractNumId w:val="6"/>
  </w:num>
  <w:num w:numId="4" w16cid:durableId="1300114381">
    <w:abstractNumId w:val="3"/>
  </w:num>
  <w:num w:numId="5" w16cid:durableId="54355521">
    <w:abstractNumId w:val="9"/>
  </w:num>
  <w:num w:numId="6" w16cid:durableId="348527796">
    <w:abstractNumId w:val="2"/>
  </w:num>
  <w:num w:numId="7" w16cid:durableId="874078593">
    <w:abstractNumId w:val="4"/>
  </w:num>
  <w:num w:numId="8" w16cid:durableId="1661620219">
    <w:abstractNumId w:val="7"/>
  </w:num>
  <w:num w:numId="9" w16cid:durableId="720906093">
    <w:abstractNumId w:val="5"/>
  </w:num>
  <w:num w:numId="10" w16cid:durableId="103175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C2"/>
    <w:rsid w:val="0075200F"/>
    <w:rsid w:val="00A37EC2"/>
    <w:rsid w:val="00C56F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F7A74F3"/>
  <w15:docId w15:val="{80801B59-58B8-B94F-8421-5203EDE6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miri" w:eastAsia="NSimSun" w:hAnsi="Ami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unhideWhenUsed/>
    <w:qFormat/>
    <w:pPr>
      <w:numPr>
        <w:ilvl w:val="2"/>
        <w:numId w:val="1"/>
      </w:numPr>
      <w:spacing w:before="140"/>
      <w:outlineLvl w:val="2"/>
    </w:pPr>
    <w:rPr>
      <w:b/>
      <w:bCs/>
      <w:sz w:val="22"/>
    </w:rPr>
  </w:style>
  <w:style w:type="paragraph" w:styleId="Heading4">
    <w:name w:val="heading 4"/>
    <w:basedOn w:val="Heading"/>
    <w:next w:val="BodyText"/>
    <w:uiPriority w:val="9"/>
    <w:semiHidden/>
    <w:unhideWhenUsed/>
    <w:qFormat/>
    <w:pPr>
      <w:numPr>
        <w:ilvl w:val="3"/>
        <w:numId w:val="1"/>
      </w:numPr>
      <w:spacing w:before="1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uiPriority w:val="99"/>
    <w:rPr>
      <w:color w:val="000080"/>
      <w:u w:val="single"/>
    </w:rPr>
  </w:style>
  <w:style w:type="character" w:customStyle="1" w:styleId="DefaultParagraphFont1">
    <w:name w:val="Default Paragraph Font1"/>
    <w:qFormat/>
  </w:style>
  <w:style w:type="character" w:customStyle="1" w:styleId="apple-converted-space">
    <w:name w:val="apple-converted-space"/>
    <w:basedOn w:val="DefaultParagraphFont1"/>
    <w:qFormat/>
    <w:rPr>
      <w:sz w:val="24"/>
      <w:szCs w:val="24"/>
    </w:rPr>
  </w:style>
  <w:style w:type="character" w:styleId="Followed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IndexLink">
    <w:name w:val="Index Link"/>
    <w:qFormat/>
  </w:style>
  <w:style w:type="character" w:customStyle="1" w:styleId="divider1">
    <w:name w:val="divider1"/>
    <w:basedOn w:val="DefaultParagraphFont"/>
    <w:qFormat/>
  </w:style>
  <w:style w:type="character" w:customStyle="1" w:styleId="casenumber">
    <w:name w:val="casenumber"/>
    <w:basedOn w:val="DefaultParagraph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rPr>
      <w:sz w:val="22"/>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100" w:after="100"/>
    </w:pPr>
  </w:style>
  <w:style w:type="paragraph" w:customStyle="1" w:styleId="Standard">
    <w:name w:val="Standard"/>
    <w:qFormat/>
    <w:pPr>
      <w:widowControl w:val="0"/>
      <w:textAlignment w:val="baseline"/>
    </w:pPr>
    <w:rPr>
      <w:rFonts w:ascii="Arial" w:eastAsia="Arial Unicode MS" w:hAnsi="Arial" w:cs="Arial Unicode MS"/>
    </w:rPr>
  </w:style>
  <w:style w:type="paragraph" w:customStyle="1" w:styleId="standard0">
    <w:name w:val="standard"/>
    <w:basedOn w:val="Normal"/>
    <w:qFormat/>
    <w:pPr>
      <w:spacing w:before="100" w:after="100"/>
    </w:pPr>
  </w:style>
  <w:style w:type="paragraph" w:styleId="FootnoteText">
    <w:name w:val="footnote text"/>
    <w:basedOn w:val="Normal"/>
  </w:style>
  <w:style w:type="paragraph" w:styleId="ListParagraph">
    <w:name w:val="List Paragraph"/>
    <w:basedOn w:val="Normal"/>
    <w:qFormat/>
    <w:pPr>
      <w:ind w:left="720"/>
      <w:contextualSpacing/>
    </w:pPr>
  </w:style>
  <w:style w:type="paragraph" w:styleId="IndexHeading">
    <w:name w:val="index heading"/>
    <w:basedOn w:val="Heading"/>
    <w:pPr>
      <w:suppressLineNumbers/>
    </w:pPr>
    <w:rPr>
      <w:b/>
      <w:bCs/>
      <w:sz w:val="32"/>
      <w:szCs w:val="32"/>
    </w:rPr>
  </w:style>
  <w:style w:type="paragraph" w:styleId="TOCHeading">
    <w:name w:val="TOC Heading"/>
    <w:basedOn w:val="IndexHeading"/>
  </w:style>
  <w:style w:type="paragraph" w:styleId="TOC2">
    <w:name w:val="toc 2"/>
    <w:basedOn w:val="Index"/>
    <w:uiPriority w:val="39"/>
    <w:pPr>
      <w:tabs>
        <w:tab w:val="right" w:leader="dot" w:pos="9638"/>
      </w:tabs>
      <w:ind w:left="283"/>
    </w:pPr>
  </w:style>
  <w:style w:type="paragraph" w:styleId="TOC3">
    <w:name w:val="toc 3"/>
    <w:basedOn w:val="Index"/>
    <w:uiPriority w:val="39"/>
    <w:pPr>
      <w:tabs>
        <w:tab w:val="right" w:leader="dot" w:pos="9638"/>
      </w:tabs>
      <w:ind w:left="567"/>
    </w:pPr>
  </w:style>
  <w:style w:type="paragraph" w:styleId="TOC1">
    <w:name w:val="toc 1"/>
    <w:basedOn w:val="Index"/>
    <w:pPr>
      <w:tabs>
        <w:tab w:val="right" w:leader="dot" w:pos="10772"/>
      </w:tabs>
    </w:pPr>
  </w:style>
  <w:style w:type="paragraph" w:styleId="NoSpacing">
    <w:name w:val="No Spacing"/>
    <w:qForma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afetechinternational.org/wp-content/uploads/2023/09/EECCsubmission12-9-2023-info-version.pdf" TargetMode="External"/><Relationship Id="rId13" Type="http://schemas.openxmlformats.org/officeDocument/2006/relationships/hyperlink" Target="https://www.researchgate.net/publication/337624982_Limiting_liability_with_positioning_to_minimize_negative_health_effects_of_cellular_phone_towers" TargetMode="External"/><Relationship Id="rId18" Type="http://schemas.openxmlformats.org/officeDocument/2006/relationships/hyperlink" Target="https://actionagainst5g.org/wp-content/uploads/2020/05/Prof-Tom-Butler-Submission-on-5G.pdf" TargetMode="External"/><Relationship Id="rId26" Type="http://schemas.openxmlformats.org/officeDocument/2006/relationships/hyperlink" Target="https://phiremedical.org/news/" TargetMode="External"/><Relationship Id="rId3" Type="http://schemas.openxmlformats.org/officeDocument/2006/relationships/settings" Target="settings.xml"/><Relationship Id="rId21" Type="http://schemas.openxmlformats.org/officeDocument/2006/relationships/hyperlink" Target="http://www.bmj.com/company/newsroom/stop-global-roll-out-of-5g-networks-until-safety-is-confirmed-urges-expert/" TargetMode="External"/><Relationship Id="rId7" Type="http://schemas.openxmlformats.org/officeDocument/2006/relationships/hyperlink" Target="https://www.icnirp.org/en/activities/news/news-article/certificate.html" TargetMode="External"/><Relationship Id="rId12" Type="http://schemas.openxmlformats.org/officeDocument/2006/relationships/hyperlink" Target="https://pubmed.ncbi.nlm.nih.gov/33434609/" TargetMode="External"/><Relationship Id="rId17" Type="http://schemas.openxmlformats.org/officeDocument/2006/relationships/hyperlink" Target="https://phiremedical.org/2020-nir-consensus-statement-read/" TargetMode="External"/><Relationship Id="rId25" Type="http://schemas.openxmlformats.org/officeDocument/2006/relationships/hyperlink" Target="https://assets.publishing.service.gov.uk/media/62f3997ed3bf7f5c11330ea3/ua-2022-000328-hs__002_.pdf"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radiationresearch.org/articles/on-the-clear-evidence-of-the-risks-to-children-from-non-ionizing-radio-frequency-radiation-the-case-of-digital-technologies-in-the-home-classroom-and-society/" TargetMode="External"/><Relationship Id="rId1" Type="http://schemas.openxmlformats.org/officeDocument/2006/relationships/numbering" Target="numbering.xml"/><Relationship Id="rId6" Type="http://schemas.openxmlformats.org/officeDocument/2006/relationships/hyperlink" Target="https://safetechinternational.org/wp-content/uploads/2023/09/EECCsubmission12-9-2023-info-version.pdf" TargetMode="External"/><Relationship Id="rId11" Type="http://schemas.openxmlformats.org/officeDocument/2006/relationships/hyperlink" Target="https://www.youtube.com/watch?v=DWK74ie7krc" TargetMode="External"/><Relationship Id="rId24" Type="http://schemas.openxmlformats.org/officeDocument/2006/relationships/hyperlink" Target="https://ieeexplore.ieee.org/stamp/stamp.jsp?tp=&amp;arnumber=10215090" TargetMode="External"/><Relationship Id="rId5" Type="http://schemas.openxmlformats.org/officeDocument/2006/relationships/hyperlink" Target="https://pubmed.ncbi.nlm.nih.gov/35751553/" TargetMode="External"/><Relationship Id="rId15" Type="http://schemas.openxmlformats.org/officeDocument/2006/relationships/hyperlink" Target="https://www.journalserapublications.com/issues/v01/i01/JEPL_1020240101001.pdf" TargetMode="External"/><Relationship Id="rId23" Type="http://schemas.openxmlformats.org/officeDocument/2006/relationships/hyperlink" Target="https://www.frontiersin.org/articles/10.3389/fpubh.2022.1000840/full" TargetMode="External"/><Relationship Id="rId28" Type="http://schemas.openxmlformats.org/officeDocument/2006/relationships/theme" Target="theme/theme1.xml"/><Relationship Id="rId10" Type="http://schemas.openxmlformats.org/officeDocument/2006/relationships/hyperlink" Target="https://ehtrust.org/pittsfield-ma-board-of-health-unanimously-votes-to-issue-cease-and-desist-for-verizon-cell-tower/" TargetMode="External"/><Relationship Id="rId19" Type="http://schemas.openxmlformats.org/officeDocument/2006/relationships/hyperlink" Target="https://ehtrust.org/environmental-health-trust-et-al-v-fcc-key-documents/" TargetMode="External"/><Relationship Id="rId4" Type="http://schemas.openxmlformats.org/officeDocument/2006/relationships/webSettings" Target="webSettings.xml"/><Relationship Id="rId9" Type="http://schemas.openxmlformats.org/officeDocument/2006/relationships/hyperlink" Target="mailto:Claire.jones@governmentlegal.gov.uk" TargetMode="External"/><Relationship Id="rId14" Type="http://schemas.openxmlformats.org/officeDocument/2006/relationships/hyperlink" Target="https://www.saferemr.com/2015/04/cell-tower-health-effects.html" TargetMode="External"/><Relationship Id="rId22" Type="http://schemas.openxmlformats.org/officeDocument/2006/relationships/hyperlink" Target="https://actionagainst5g.org/news/ecological-threat-of-rfr-and-5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4476</Words>
  <Characters>25514</Characters>
  <Application>Microsoft Office Word</Application>
  <DocSecurity>0</DocSecurity>
  <Lines>212</Lines>
  <Paragraphs>59</Paragraphs>
  <ScaleCrop>false</ScaleCrop>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oliver perceval</cp:lastModifiedBy>
  <cp:revision>15</cp:revision>
  <dcterms:created xsi:type="dcterms:W3CDTF">2024-03-27T22:10:00Z</dcterms:created>
  <dcterms:modified xsi:type="dcterms:W3CDTF">2025-10-08T19:16:00Z</dcterms:modified>
  <dc:language>en-GB</dc:language>
</cp:coreProperties>
</file>